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67FCB" w14:textId="425B54DA" w:rsidR="006B2DFD" w:rsidRDefault="005F645E">
      <w:r w:rsidRPr="005F645E">
        <w:drawing>
          <wp:inline distT="0" distB="0" distL="0" distR="0" wp14:anchorId="44D31938" wp14:editId="0A4103E6">
            <wp:extent cx="5595620" cy="1838960"/>
            <wp:effectExtent l="0" t="0" r="5080" b="8890"/>
            <wp:docPr id="111830054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300543" name=""/>
                    <pic:cNvPicPr/>
                  </pic:nvPicPr>
                  <pic:blipFill>
                    <a:blip r:embed="rId7"/>
                    <a:stretch>
                      <a:fillRect/>
                    </a:stretch>
                  </pic:blipFill>
                  <pic:spPr>
                    <a:xfrm>
                      <a:off x="0" y="0"/>
                      <a:ext cx="5597680" cy="1839637"/>
                    </a:xfrm>
                    <a:prstGeom prst="rect">
                      <a:avLst/>
                    </a:prstGeom>
                  </pic:spPr>
                </pic:pic>
              </a:graphicData>
            </a:graphic>
          </wp:inline>
        </w:drawing>
      </w:r>
    </w:p>
    <w:p w14:paraId="2806AF6E" w14:textId="2D85598A" w:rsidR="005F645E" w:rsidRDefault="005F645E">
      <w:r w:rsidRPr="005F645E">
        <w:drawing>
          <wp:inline distT="0" distB="0" distL="0" distR="0" wp14:anchorId="6FC8CAFD" wp14:editId="0872DA80">
            <wp:extent cx="5836920" cy="1310005"/>
            <wp:effectExtent l="0" t="0" r="0" b="4445"/>
            <wp:docPr id="34279479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794799" name=""/>
                    <pic:cNvPicPr/>
                  </pic:nvPicPr>
                  <pic:blipFill>
                    <a:blip r:embed="rId8"/>
                    <a:stretch>
                      <a:fillRect/>
                    </a:stretch>
                  </pic:blipFill>
                  <pic:spPr>
                    <a:xfrm>
                      <a:off x="0" y="0"/>
                      <a:ext cx="5842897" cy="1311346"/>
                    </a:xfrm>
                    <a:prstGeom prst="rect">
                      <a:avLst/>
                    </a:prstGeom>
                  </pic:spPr>
                </pic:pic>
              </a:graphicData>
            </a:graphic>
          </wp:inline>
        </w:drawing>
      </w:r>
    </w:p>
    <w:p w14:paraId="3BDB5E0B" w14:textId="6B20508E" w:rsidR="005F645E" w:rsidRDefault="005F645E">
      <w:r w:rsidRPr="005F645E">
        <w:drawing>
          <wp:inline distT="0" distB="0" distL="0" distR="0" wp14:anchorId="51BF595C" wp14:editId="75A8100B">
            <wp:extent cx="5760720" cy="1507490"/>
            <wp:effectExtent l="0" t="0" r="0" b="0"/>
            <wp:docPr id="38792104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921044" name=""/>
                    <pic:cNvPicPr/>
                  </pic:nvPicPr>
                  <pic:blipFill>
                    <a:blip r:embed="rId9"/>
                    <a:stretch>
                      <a:fillRect/>
                    </a:stretch>
                  </pic:blipFill>
                  <pic:spPr>
                    <a:xfrm>
                      <a:off x="0" y="0"/>
                      <a:ext cx="5760720" cy="1507490"/>
                    </a:xfrm>
                    <a:prstGeom prst="rect">
                      <a:avLst/>
                    </a:prstGeom>
                  </pic:spPr>
                </pic:pic>
              </a:graphicData>
            </a:graphic>
          </wp:inline>
        </w:drawing>
      </w:r>
    </w:p>
    <w:p w14:paraId="61E1838C" w14:textId="77777777" w:rsidR="003240C4" w:rsidRDefault="003240C4" w:rsidP="006B025A">
      <w:pPr>
        <w:rPr>
          <w:b/>
          <w:bCs/>
        </w:rPr>
      </w:pPr>
    </w:p>
    <w:p w14:paraId="518DF566" w14:textId="77777777" w:rsidR="003240C4" w:rsidRDefault="003240C4">
      <w:pPr>
        <w:rPr>
          <w:b/>
          <w:bCs/>
        </w:rPr>
      </w:pPr>
      <w:r>
        <w:rPr>
          <w:b/>
          <w:bCs/>
        </w:rPr>
        <w:br w:type="page"/>
      </w:r>
    </w:p>
    <w:p w14:paraId="0BA6593A" w14:textId="7362F370" w:rsidR="003240C4" w:rsidRPr="003240C4" w:rsidRDefault="003240C4" w:rsidP="003240C4">
      <w:pPr>
        <w:jc w:val="center"/>
        <w:rPr>
          <w:rFonts w:ascii="Times New Roman" w:hAnsi="Times New Roman" w:cs="Times New Roman"/>
          <w:b/>
          <w:bCs/>
          <w:sz w:val="32"/>
          <w:szCs w:val="32"/>
        </w:rPr>
      </w:pPr>
      <w:r w:rsidRPr="003240C4">
        <w:rPr>
          <w:rFonts w:ascii="Times New Roman" w:hAnsi="Times New Roman" w:cs="Times New Roman"/>
          <w:b/>
          <w:bCs/>
          <w:sz w:val="32"/>
          <w:szCs w:val="32"/>
        </w:rPr>
        <w:lastRenderedPageBreak/>
        <w:t>La CCN des ETAM du Bâtiment IDCC 2609</w:t>
      </w:r>
    </w:p>
    <w:p w14:paraId="42994B19" w14:textId="77777777" w:rsidR="003240C4" w:rsidRPr="003240C4" w:rsidRDefault="003240C4" w:rsidP="003240C4">
      <w:pPr>
        <w:jc w:val="center"/>
        <w:rPr>
          <w:rFonts w:ascii="Times New Roman" w:hAnsi="Times New Roman" w:cs="Times New Roman"/>
          <w:b/>
          <w:bCs/>
          <w:sz w:val="32"/>
          <w:szCs w:val="32"/>
        </w:rPr>
      </w:pPr>
    </w:p>
    <w:p w14:paraId="46F26E9A" w14:textId="23808A0C" w:rsidR="006B025A" w:rsidRPr="006B025A" w:rsidRDefault="006B025A" w:rsidP="006B025A">
      <w:pPr>
        <w:rPr>
          <w:b/>
          <w:bCs/>
        </w:rPr>
      </w:pPr>
      <w:r w:rsidRPr="006B025A">
        <w:rPr>
          <w:b/>
          <w:bCs/>
        </w:rPr>
        <w:t>1) Texte de référence</w:t>
      </w:r>
    </w:p>
    <w:p w14:paraId="5D89E61B" w14:textId="064C8C0B" w:rsidR="006B025A" w:rsidRPr="006B025A" w:rsidRDefault="006B025A" w:rsidP="006B025A">
      <w:r w:rsidRPr="006B025A">
        <w:t>La CCN « Employés, techniciens et agents de maîtrise du bâtiment » est codifiée sous</w:t>
      </w:r>
      <w:r w:rsidR="003240C4">
        <w:t xml:space="preserve"> l’</w:t>
      </w:r>
      <w:r w:rsidRPr="006B025A">
        <w:t xml:space="preserve"> </w:t>
      </w:r>
      <w:r w:rsidRPr="006B025A">
        <w:rPr>
          <w:b/>
          <w:bCs/>
        </w:rPr>
        <w:t>IDCC 2609</w:t>
      </w:r>
      <w:r w:rsidRPr="006B025A">
        <w:t xml:space="preserve"> (brochure 3002). Le texte central et ses annexes sont consultables sur Légifrance. </w:t>
      </w:r>
      <w:hyperlink r:id="rId10" w:tgtFrame="_blank" w:history="1">
        <w:r w:rsidRPr="006B025A">
          <w:rPr>
            <w:rStyle w:val="Lienhypertexte"/>
          </w:rPr>
          <w:t>Légifrance</w:t>
        </w:r>
      </w:hyperlink>
    </w:p>
    <w:p w14:paraId="4E944EE1" w14:textId="77777777" w:rsidR="001D4FD6" w:rsidRPr="001D4FD6" w:rsidRDefault="001D4FD6" w:rsidP="001D4FD6">
      <w:r w:rsidRPr="001D4FD6">
        <w:t xml:space="preserve">La </w:t>
      </w:r>
      <w:r w:rsidRPr="001D4FD6">
        <w:rPr>
          <w:b/>
          <w:bCs/>
        </w:rPr>
        <w:t>Convention collective nationale des employés, techniciens et agents de maîtrise du bâtiment (IDCC 2609 / Brochure 3002)</w:t>
      </w:r>
      <w:r w:rsidRPr="001D4FD6">
        <w:t xml:space="preserve"> est bien une convention </w:t>
      </w:r>
      <w:r w:rsidRPr="001D4FD6">
        <w:rPr>
          <w:b/>
          <w:bCs/>
        </w:rPr>
        <w:t>étendue</w:t>
      </w:r>
      <w:r w:rsidRPr="001D4FD6">
        <w:t>.</w:t>
      </w:r>
    </w:p>
    <w:p w14:paraId="2AA2DB71" w14:textId="77777777" w:rsidR="001D4FD6" w:rsidRPr="001D4FD6" w:rsidRDefault="001D4FD6" w:rsidP="001D4FD6">
      <w:pPr>
        <w:rPr>
          <w:b/>
          <w:bCs/>
        </w:rPr>
      </w:pPr>
      <w:r w:rsidRPr="001D4FD6">
        <w:rPr>
          <w:rFonts w:ascii="Segoe UI Emoji" w:hAnsi="Segoe UI Emoji" w:cs="Segoe UI Emoji"/>
          <w:b/>
          <w:bCs/>
        </w:rPr>
        <w:t>👉</w:t>
      </w:r>
      <w:r w:rsidRPr="001D4FD6">
        <w:rPr>
          <w:b/>
          <w:bCs/>
        </w:rPr>
        <w:t xml:space="preserve"> Concrètement :</w:t>
      </w:r>
    </w:p>
    <w:p w14:paraId="44C93F63" w14:textId="77777777" w:rsidR="001D4FD6" w:rsidRPr="001D4FD6" w:rsidRDefault="001D4FD6" w:rsidP="001D4FD6">
      <w:pPr>
        <w:numPr>
          <w:ilvl w:val="0"/>
          <w:numId w:val="17"/>
        </w:numPr>
      </w:pPr>
      <w:r w:rsidRPr="001D4FD6">
        <w:t xml:space="preserve">Un </w:t>
      </w:r>
      <w:r w:rsidRPr="001D4FD6">
        <w:rPr>
          <w:b/>
          <w:bCs/>
        </w:rPr>
        <w:t>arrêté d’extension</w:t>
      </w:r>
      <w:r w:rsidRPr="001D4FD6">
        <w:t xml:space="preserve"> a été pris (publié au Journal officiel) rendant la convention applicable à </w:t>
      </w:r>
      <w:r w:rsidRPr="001D4FD6">
        <w:rPr>
          <w:b/>
          <w:bCs/>
        </w:rPr>
        <w:t>toutes les entreprises</w:t>
      </w:r>
      <w:r w:rsidRPr="001D4FD6">
        <w:t xml:space="preserve"> entrant dans son champ d’application, </w:t>
      </w:r>
      <w:r w:rsidRPr="001D4FD6">
        <w:rPr>
          <w:b/>
          <w:bCs/>
        </w:rPr>
        <w:t>même si elles ne sont pas adhérentes</w:t>
      </w:r>
      <w:r w:rsidRPr="001D4FD6">
        <w:t xml:space="preserve"> à une organisation patronale signataire.</w:t>
      </w:r>
    </w:p>
    <w:p w14:paraId="7791A1C9" w14:textId="77777777" w:rsidR="001D4FD6" w:rsidRPr="001D4FD6" w:rsidRDefault="001D4FD6" w:rsidP="001D4FD6">
      <w:pPr>
        <w:numPr>
          <w:ilvl w:val="0"/>
          <w:numId w:val="17"/>
        </w:numPr>
      </w:pPr>
      <w:r w:rsidRPr="001D4FD6">
        <w:t xml:space="preserve">Les extensions concernent le </w:t>
      </w:r>
      <w:r w:rsidRPr="001D4FD6">
        <w:rPr>
          <w:b/>
          <w:bCs/>
        </w:rPr>
        <w:t>texte conventionnel national</w:t>
      </w:r>
      <w:r w:rsidRPr="001D4FD6">
        <w:t xml:space="preserve"> et les </w:t>
      </w:r>
      <w:r w:rsidRPr="001D4FD6">
        <w:rPr>
          <w:b/>
          <w:bCs/>
        </w:rPr>
        <w:t>avenants nationaux</w:t>
      </w:r>
      <w:r w:rsidRPr="001D4FD6">
        <w:t xml:space="preserve">, mais aussi les </w:t>
      </w:r>
      <w:r w:rsidRPr="001D4FD6">
        <w:rPr>
          <w:b/>
          <w:bCs/>
        </w:rPr>
        <w:t>accords régionaux</w:t>
      </w:r>
      <w:r w:rsidRPr="001D4FD6">
        <w:t xml:space="preserve"> (notamment ceux relatifs aux salaires) qui sont eux aussi étendus régulièrement par arrêtés ministériels (comme on l’a vu pour la Bretagne avec l’arrêté du </w:t>
      </w:r>
      <w:r w:rsidRPr="001D4FD6">
        <w:rPr>
          <w:b/>
          <w:bCs/>
        </w:rPr>
        <w:t>6 février 2025</w:t>
      </w:r>
      <w:r w:rsidRPr="001D4FD6">
        <w:t>).</w:t>
      </w:r>
    </w:p>
    <w:p w14:paraId="28F8A0A5" w14:textId="77777777" w:rsidR="001D4FD6" w:rsidRPr="001D4FD6" w:rsidRDefault="001D4FD6" w:rsidP="001D4FD6">
      <w:pPr>
        <w:numPr>
          <w:ilvl w:val="0"/>
          <w:numId w:val="17"/>
        </w:numPr>
      </w:pPr>
      <w:r w:rsidRPr="001D4FD6">
        <w:t xml:space="preserve">Cela signifie que dans les </w:t>
      </w:r>
      <w:r w:rsidRPr="001D4FD6">
        <w:rPr>
          <w:b/>
          <w:bCs/>
        </w:rPr>
        <w:t>Côtes-d’Armor</w:t>
      </w:r>
      <w:r w:rsidRPr="001D4FD6">
        <w:t xml:space="preserve"> (et partout en France), la CCN 2609 est juridiquement </w:t>
      </w:r>
      <w:r w:rsidRPr="001D4FD6">
        <w:rPr>
          <w:b/>
          <w:bCs/>
        </w:rPr>
        <w:t>d’application obligatoire</w:t>
      </w:r>
      <w:r w:rsidRPr="001D4FD6">
        <w:t xml:space="preserve"> pour les employeurs et salariés qui entrent dans son champ (activité bâtiment, catégorie ETAM).</w:t>
      </w:r>
    </w:p>
    <w:p w14:paraId="0E4D83B0" w14:textId="77777777" w:rsidR="006B025A" w:rsidRPr="006B025A" w:rsidRDefault="006B025A" w:rsidP="006B025A">
      <w:r w:rsidRPr="006B025A">
        <w:pict w14:anchorId="6776784F">
          <v:rect id="_x0000_i1031" style="width:0;height:1.5pt" o:hralign="center" o:hrstd="t" o:hr="t" fillcolor="#a0a0a0" stroked="f"/>
        </w:pict>
      </w:r>
    </w:p>
    <w:p w14:paraId="4EC19D4D" w14:textId="77777777" w:rsidR="006B025A" w:rsidRPr="006B025A" w:rsidRDefault="006B025A" w:rsidP="006B025A">
      <w:pPr>
        <w:rPr>
          <w:b/>
          <w:bCs/>
        </w:rPr>
      </w:pPr>
      <w:r w:rsidRPr="006B025A">
        <w:rPr>
          <w:b/>
          <w:bCs/>
        </w:rPr>
        <w:t>2) Conditions de conclusion d’un accord / d’une convention</w:t>
      </w:r>
    </w:p>
    <w:p w14:paraId="74BC6CCF" w14:textId="77777777" w:rsidR="006B025A" w:rsidRPr="006B025A" w:rsidRDefault="006B025A" w:rsidP="006B025A">
      <w:pPr>
        <w:numPr>
          <w:ilvl w:val="0"/>
          <w:numId w:val="1"/>
        </w:numPr>
      </w:pPr>
      <w:r w:rsidRPr="006B025A">
        <w:rPr>
          <w:b/>
          <w:bCs/>
        </w:rPr>
        <w:t>Qui conclut ?</w:t>
      </w:r>
      <w:r w:rsidRPr="006B025A">
        <w:t xml:space="preserve"> Une convention ou un accord collectif de branche est conclu entre organisations syndicales représentatives de salariés et organisations d’employeurs représentatives. À l’échelon régional, les fédérations d’employeurs (ex. FFB, CAPEB) et les syndicats représentatifs signent les accords régionaux.</w:t>
      </w:r>
    </w:p>
    <w:p w14:paraId="7BA7393B" w14:textId="77777777" w:rsidR="006B025A" w:rsidRPr="006B025A" w:rsidRDefault="006B025A" w:rsidP="006B025A">
      <w:pPr>
        <w:numPr>
          <w:ilvl w:val="0"/>
          <w:numId w:val="1"/>
        </w:numPr>
      </w:pPr>
      <w:r w:rsidRPr="006B025A">
        <w:rPr>
          <w:b/>
          <w:bCs/>
        </w:rPr>
        <w:t>Validité</w:t>
      </w:r>
      <w:r w:rsidRPr="006B025A">
        <w:t xml:space="preserve"> : pour être opposable, un accord doit respecter les conditions posées par le Code du travail (procédure de négociation, représentation, signature, publicité). Les règles générales de validité des accords s’appliquent (représentativité, modalités de signature, formalités de dépôt/publication). </w:t>
      </w:r>
    </w:p>
    <w:p w14:paraId="41CB0E58" w14:textId="77777777" w:rsidR="006B025A" w:rsidRPr="006B025A" w:rsidRDefault="006B025A" w:rsidP="006B025A">
      <w:pPr>
        <w:rPr>
          <w:b/>
          <w:bCs/>
        </w:rPr>
      </w:pPr>
      <w:r w:rsidRPr="006B025A">
        <w:rPr>
          <w:b/>
          <w:bCs/>
        </w:rPr>
        <w:t>3) Mécanisme d’extension (qu’est-ce que c’est ? comment ça marche ?)</w:t>
      </w:r>
    </w:p>
    <w:p w14:paraId="25F22A9A" w14:textId="77777777" w:rsidR="006B025A" w:rsidRPr="006B025A" w:rsidRDefault="006B025A" w:rsidP="006B025A">
      <w:pPr>
        <w:numPr>
          <w:ilvl w:val="0"/>
          <w:numId w:val="2"/>
        </w:numPr>
      </w:pPr>
      <w:r w:rsidRPr="006B025A">
        <w:rPr>
          <w:b/>
          <w:bCs/>
        </w:rPr>
        <w:t>Principe :</w:t>
      </w:r>
      <w:r w:rsidRPr="006B025A">
        <w:t xml:space="preserve"> Un accord de branche ou régional, négocié et signé, peut être rendu </w:t>
      </w:r>
      <w:r w:rsidRPr="006B025A">
        <w:rPr>
          <w:b/>
          <w:bCs/>
        </w:rPr>
        <w:t>obligatoire</w:t>
      </w:r>
      <w:r w:rsidRPr="006B025A">
        <w:t xml:space="preserve"> pour toutes les entreprises du champ visé par </w:t>
      </w:r>
      <w:r w:rsidRPr="006B025A">
        <w:rPr>
          <w:b/>
          <w:bCs/>
        </w:rPr>
        <w:t>arrêté ministériel d’extension</w:t>
      </w:r>
      <w:r w:rsidRPr="006B025A">
        <w:t xml:space="preserve"> (publication au Journal officiel). L’arrêté d’extension étend les effets de l’accord à toutes les entreprises et tous les salariés entrant dans le périmètre de l’accord, même si leur employeur n’a pas signé.</w:t>
      </w:r>
    </w:p>
    <w:p w14:paraId="565915A2" w14:textId="77777777" w:rsidR="006B025A" w:rsidRPr="006B025A" w:rsidRDefault="006B025A" w:rsidP="006B025A">
      <w:pPr>
        <w:numPr>
          <w:ilvl w:val="0"/>
          <w:numId w:val="2"/>
        </w:numPr>
      </w:pPr>
      <w:r w:rsidRPr="006B025A">
        <w:rPr>
          <w:b/>
          <w:bCs/>
        </w:rPr>
        <w:t>Conséquence pratique :</w:t>
      </w:r>
      <w:r w:rsidRPr="006B025A">
        <w:t xml:space="preserve"> quand un arrêté d’extension est publié pour un accord régional (ex. Bretagne), les minima salariaux et autres dispositions étendues deviennent applicables à toutes les entreprises du (ou des) département(s) concernés. </w:t>
      </w:r>
      <w:hyperlink r:id="rId11" w:tgtFrame="_blank" w:history="1">
        <w:r w:rsidRPr="006B025A">
          <w:rPr>
            <w:rStyle w:val="Lienhypertexte"/>
          </w:rPr>
          <w:t>Légifrance+1</w:t>
        </w:r>
      </w:hyperlink>
    </w:p>
    <w:p w14:paraId="329FD0D4" w14:textId="77777777" w:rsidR="006B025A" w:rsidRPr="006B025A" w:rsidRDefault="006B025A" w:rsidP="006B025A">
      <w:r w:rsidRPr="006B025A">
        <w:pict w14:anchorId="002FB8A4">
          <v:rect id="_x0000_i1039" style="width:0;height:1.5pt" o:hralign="center" o:hrstd="t" o:hr="t" fillcolor="#a0a0a0" stroked="f"/>
        </w:pict>
      </w:r>
    </w:p>
    <w:p w14:paraId="381B1AD9" w14:textId="77777777" w:rsidR="006B025A" w:rsidRPr="006B025A" w:rsidRDefault="006B025A" w:rsidP="006B025A">
      <w:pPr>
        <w:rPr>
          <w:b/>
          <w:bCs/>
        </w:rPr>
      </w:pPr>
      <w:r w:rsidRPr="006B025A">
        <w:rPr>
          <w:b/>
          <w:bCs/>
        </w:rPr>
        <w:t>4) Personnels concernés par la CCN ETAM (champ d’application)</w:t>
      </w:r>
    </w:p>
    <w:p w14:paraId="02E1DBC4" w14:textId="77777777" w:rsidR="006B025A" w:rsidRPr="006B025A" w:rsidRDefault="006B025A" w:rsidP="006B025A">
      <w:pPr>
        <w:numPr>
          <w:ilvl w:val="0"/>
          <w:numId w:val="3"/>
        </w:numPr>
      </w:pPr>
      <w:r w:rsidRPr="006B025A">
        <w:rPr>
          <w:b/>
          <w:bCs/>
        </w:rPr>
        <w:lastRenderedPageBreak/>
        <w:t>Catégories</w:t>
      </w:r>
      <w:r w:rsidRPr="006B025A">
        <w:t xml:space="preserve"> : la CCN vise les </w:t>
      </w:r>
      <w:r w:rsidRPr="006B025A">
        <w:rPr>
          <w:b/>
          <w:bCs/>
        </w:rPr>
        <w:t>employés, techniciens et agents de maîtrise</w:t>
      </w:r>
      <w:r w:rsidRPr="006B025A">
        <w:t xml:space="preserve"> du secteur du bâtiment (personnels non-ouvriers mais liés aux activités du BTP).</w:t>
      </w:r>
    </w:p>
    <w:p w14:paraId="2DB89504" w14:textId="77777777" w:rsidR="006B025A" w:rsidRDefault="006B025A" w:rsidP="006B025A">
      <w:pPr>
        <w:numPr>
          <w:ilvl w:val="0"/>
          <w:numId w:val="3"/>
        </w:numPr>
      </w:pPr>
      <w:r w:rsidRPr="006B025A">
        <w:rPr>
          <w:b/>
          <w:bCs/>
        </w:rPr>
        <w:t>Périmètre d’activité</w:t>
      </w:r>
      <w:r w:rsidRPr="006B025A">
        <w:t xml:space="preserve"> : elle s’applique aux employeurs dont l’activité relève des codes NAF/APE couverts par la convention (cf. fiche convention). Les ouvriers relèvent d’autres articles/CCN (ouvriers du bâtiment). </w:t>
      </w:r>
      <w:hyperlink r:id="rId12" w:tgtFrame="_blank" w:history="1">
        <w:r w:rsidRPr="006B025A">
          <w:rPr>
            <w:rStyle w:val="Lienhypertexte"/>
          </w:rPr>
          <w:t>Légifrance+1</w:t>
        </w:r>
      </w:hyperlink>
    </w:p>
    <w:p w14:paraId="2ACA31A9" w14:textId="12EA120D" w:rsidR="003240C4" w:rsidRPr="001D4FD6" w:rsidRDefault="003240C4" w:rsidP="001D4FD6">
      <w:pPr>
        <w:rPr>
          <w:rFonts w:ascii="Times New Roman" w:eastAsia="Times New Roman" w:hAnsi="Times New Roman" w:cs="Times New Roman"/>
          <w:b/>
          <w:bCs/>
          <w:kern w:val="0"/>
          <w:sz w:val="36"/>
          <w:szCs w:val="36"/>
          <w:lang w:eastAsia="fr-FR"/>
          <w14:ligatures w14:val="none"/>
        </w:rPr>
      </w:pPr>
      <w:r w:rsidRPr="003240C4">
        <w:rPr>
          <w:rFonts w:ascii="Times New Roman" w:eastAsia="Times New Roman" w:hAnsi="Times New Roman" w:cs="Times New Roman"/>
          <w:b/>
          <w:bCs/>
          <w:kern w:val="0"/>
          <w:sz w:val="28"/>
          <w:szCs w:val="28"/>
          <w:lang w:eastAsia="fr-FR"/>
          <w14:ligatures w14:val="none"/>
        </w:rPr>
        <w:t>Codes NAF / APE souvent mentionnés</w:t>
      </w:r>
    </w:p>
    <w:p w14:paraId="29DFF1EB" w14:textId="77777777" w:rsidR="003240C4" w:rsidRPr="003240C4" w:rsidRDefault="003240C4" w:rsidP="003240C4">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 xml:space="preserve">D’après des sources de synthèse de la CCN Bâtiment ETAM, les codes APE suivants sont souvent cités comme relevant du champ d’application de cette convention : </w:t>
      </w:r>
      <w:hyperlink r:id="rId13" w:tgtFrame="_blank" w:history="1">
        <w:r w:rsidRPr="003240C4">
          <w:rPr>
            <w:rFonts w:ascii="Times New Roman" w:eastAsia="Times New Roman" w:hAnsi="Times New Roman" w:cs="Times New Roman"/>
            <w:color w:val="0000FF"/>
            <w:kern w:val="0"/>
            <w:sz w:val="24"/>
            <w:szCs w:val="24"/>
            <w:u w:val="single"/>
            <w:lang w:eastAsia="fr-FR"/>
            <w14:ligatures w14:val="none"/>
          </w:rPr>
          <w:t>Convention+1</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09"/>
        <w:gridCol w:w="7063"/>
      </w:tblGrid>
      <w:tr w:rsidR="003240C4" w:rsidRPr="003240C4" w14:paraId="44693844" w14:textId="77777777">
        <w:trPr>
          <w:tblHeader/>
          <w:tblCellSpacing w:w="15" w:type="dxa"/>
        </w:trPr>
        <w:tc>
          <w:tcPr>
            <w:tcW w:w="0" w:type="auto"/>
            <w:vAlign w:val="center"/>
            <w:hideMark/>
          </w:tcPr>
          <w:p w14:paraId="0F508FD4" w14:textId="77777777" w:rsidR="003240C4" w:rsidRPr="003240C4" w:rsidRDefault="003240C4" w:rsidP="003240C4">
            <w:pPr>
              <w:spacing w:after="0" w:line="240" w:lineRule="auto"/>
              <w:jc w:val="center"/>
              <w:rPr>
                <w:rFonts w:ascii="Times New Roman" w:eastAsia="Times New Roman" w:hAnsi="Times New Roman" w:cs="Times New Roman"/>
                <w:b/>
                <w:bCs/>
                <w:kern w:val="0"/>
                <w:sz w:val="24"/>
                <w:szCs w:val="24"/>
                <w:lang w:eastAsia="fr-FR"/>
                <w14:ligatures w14:val="none"/>
              </w:rPr>
            </w:pPr>
            <w:r w:rsidRPr="003240C4">
              <w:rPr>
                <w:rFonts w:ascii="Times New Roman" w:eastAsia="Times New Roman" w:hAnsi="Times New Roman" w:cs="Times New Roman"/>
                <w:b/>
                <w:bCs/>
                <w:kern w:val="0"/>
                <w:sz w:val="24"/>
                <w:szCs w:val="24"/>
                <w:lang w:eastAsia="fr-FR"/>
                <w14:ligatures w14:val="none"/>
              </w:rPr>
              <w:t>Code APE / NAF</w:t>
            </w:r>
          </w:p>
        </w:tc>
        <w:tc>
          <w:tcPr>
            <w:tcW w:w="0" w:type="auto"/>
            <w:vAlign w:val="center"/>
            <w:hideMark/>
          </w:tcPr>
          <w:p w14:paraId="20AA681F" w14:textId="77777777" w:rsidR="003240C4" w:rsidRPr="003240C4" w:rsidRDefault="003240C4" w:rsidP="003240C4">
            <w:pPr>
              <w:spacing w:after="0" w:line="240" w:lineRule="auto"/>
              <w:jc w:val="center"/>
              <w:rPr>
                <w:rFonts w:ascii="Times New Roman" w:eastAsia="Times New Roman" w:hAnsi="Times New Roman" w:cs="Times New Roman"/>
                <w:b/>
                <w:bCs/>
                <w:kern w:val="0"/>
                <w:sz w:val="24"/>
                <w:szCs w:val="24"/>
                <w:lang w:eastAsia="fr-FR"/>
                <w14:ligatures w14:val="none"/>
              </w:rPr>
            </w:pPr>
            <w:r w:rsidRPr="003240C4">
              <w:rPr>
                <w:rFonts w:ascii="Times New Roman" w:eastAsia="Times New Roman" w:hAnsi="Times New Roman" w:cs="Times New Roman"/>
                <w:b/>
                <w:bCs/>
                <w:kern w:val="0"/>
                <w:sz w:val="24"/>
                <w:szCs w:val="24"/>
                <w:lang w:eastAsia="fr-FR"/>
                <w14:ligatures w14:val="none"/>
              </w:rPr>
              <w:t>Activité / description associée</w:t>
            </w:r>
          </w:p>
        </w:tc>
      </w:tr>
      <w:tr w:rsidR="003240C4" w:rsidRPr="003240C4" w14:paraId="312FE6F6" w14:textId="77777777">
        <w:trPr>
          <w:tblCellSpacing w:w="15" w:type="dxa"/>
        </w:trPr>
        <w:tc>
          <w:tcPr>
            <w:tcW w:w="0" w:type="auto"/>
            <w:vAlign w:val="center"/>
            <w:hideMark/>
          </w:tcPr>
          <w:p w14:paraId="13A05BBA"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3311Z</w:t>
            </w:r>
          </w:p>
        </w:tc>
        <w:tc>
          <w:tcPr>
            <w:tcW w:w="0" w:type="auto"/>
            <w:vAlign w:val="center"/>
            <w:hideMark/>
          </w:tcPr>
          <w:p w14:paraId="09EBABF1"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Fabrication de structures métalliques</w:t>
            </w:r>
          </w:p>
        </w:tc>
      </w:tr>
      <w:tr w:rsidR="003240C4" w:rsidRPr="003240C4" w14:paraId="5A557B33"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5BC3DDE"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3320A, 3320B, 3320D</w:t>
            </w:r>
          </w:p>
        </w:tc>
        <w:tc>
          <w:tcPr>
            <w:tcW w:w="0" w:type="auto"/>
            <w:tcBorders>
              <w:top w:val="single" w:sz="4" w:space="0" w:color="auto"/>
              <w:left w:val="single" w:sz="4" w:space="0" w:color="auto"/>
              <w:bottom w:val="single" w:sz="4" w:space="0" w:color="auto"/>
              <w:right w:val="single" w:sz="4" w:space="0" w:color="auto"/>
            </w:tcBorders>
            <w:vAlign w:val="center"/>
            <w:hideMark/>
          </w:tcPr>
          <w:p w14:paraId="719E2099"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Travaux de montage de structures métalliques (éléments préfabriqués, passerelles, etc.)</w:t>
            </w:r>
          </w:p>
        </w:tc>
      </w:tr>
      <w:tr w:rsidR="003240C4" w:rsidRPr="003240C4" w14:paraId="75A1C021"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C6449D7"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4120A, 4120B</w:t>
            </w:r>
          </w:p>
        </w:tc>
        <w:tc>
          <w:tcPr>
            <w:tcW w:w="0" w:type="auto"/>
            <w:tcBorders>
              <w:top w:val="single" w:sz="4" w:space="0" w:color="auto"/>
              <w:left w:val="single" w:sz="4" w:space="0" w:color="auto"/>
              <w:bottom w:val="single" w:sz="4" w:space="0" w:color="auto"/>
              <w:right w:val="single" w:sz="4" w:space="0" w:color="auto"/>
            </w:tcBorders>
            <w:vAlign w:val="center"/>
            <w:hideMark/>
          </w:tcPr>
          <w:p w14:paraId="4E718FAD"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Construction de bâtiments (gros œuvre, construction neuve)</w:t>
            </w:r>
          </w:p>
        </w:tc>
      </w:tr>
      <w:tr w:rsidR="003240C4" w:rsidRPr="003240C4" w14:paraId="631A4D79"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9549B7C"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4211Z</w:t>
            </w:r>
          </w:p>
        </w:tc>
        <w:tc>
          <w:tcPr>
            <w:tcW w:w="0" w:type="auto"/>
            <w:tcBorders>
              <w:top w:val="single" w:sz="4" w:space="0" w:color="auto"/>
              <w:left w:val="single" w:sz="4" w:space="0" w:color="auto"/>
              <w:bottom w:val="single" w:sz="4" w:space="0" w:color="auto"/>
              <w:right w:val="single" w:sz="4" w:space="0" w:color="auto"/>
            </w:tcBorders>
            <w:vAlign w:val="center"/>
            <w:hideMark/>
          </w:tcPr>
          <w:p w14:paraId="1DDDDAA9"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Construction de routes et autoroutes</w:t>
            </w:r>
          </w:p>
        </w:tc>
      </w:tr>
      <w:tr w:rsidR="003240C4" w:rsidRPr="003240C4" w14:paraId="20E5B7B9"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31B111F"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4213A</w:t>
            </w:r>
          </w:p>
        </w:tc>
        <w:tc>
          <w:tcPr>
            <w:tcW w:w="0" w:type="auto"/>
            <w:tcBorders>
              <w:top w:val="single" w:sz="4" w:space="0" w:color="auto"/>
              <w:left w:val="single" w:sz="4" w:space="0" w:color="auto"/>
              <w:bottom w:val="single" w:sz="4" w:space="0" w:color="auto"/>
              <w:right w:val="single" w:sz="4" w:space="0" w:color="auto"/>
            </w:tcBorders>
            <w:vAlign w:val="center"/>
            <w:hideMark/>
          </w:tcPr>
          <w:p w14:paraId="406C96E5"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Travaux d’assainissement</w:t>
            </w:r>
          </w:p>
        </w:tc>
      </w:tr>
      <w:tr w:rsidR="003240C4" w:rsidRPr="003240C4" w14:paraId="5D2E2CEE"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7C5E73C"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4221Z, 4222Z</w:t>
            </w:r>
          </w:p>
        </w:tc>
        <w:tc>
          <w:tcPr>
            <w:tcW w:w="0" w:type="auto"/>
            <w:tcBorders>
              <w:top w:val="single" w:sz="4" w:space="0" w:color="auto"/>
              <w:left w:val="single" w:sz="4" w:space="0" w:color="auto"/>
              <w:bottom w:val="single" w:sz="4" w:space="0" w:color="auto"/>
              <w:right w:val="single" w:sz="4" w:space="0" w:color="auto"/>
            </w:tcBorders>
            <w:vAlign w:val="center"/>
            <w:hideMark/>
          </w:tcPr>
          <w:p w14:paraId="6E44B705"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Travaux d'installation électrique</w:t>
            </w:r>
          </w:p>
        </w:tc>
      </w:tr>
      <w:tr w:rsidR="003240C4" w:rsidRPr="003240C4" w14:paraId="298ACE78"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F7E98E0"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4299Z</w:t>
            </w:r>
          </w:p>
        </w:tc>
        <w:tc>
          <w:tcPr>
            <w:tcW w:w="0" w:type="auto"/>
            <w:tcBorders>
              <w:top w:val="single" w:sz="4" w:space="0" w:color="auto"/>
              <w:left w:val="single" w:sz="4" w:space="0" w:color="auto"/>
              <w:bottom w:val="single" w:sz="4" w:space="0" w:color="auto"/>
              <w:right w:val="single" w:sz="4" w:space="0" w:color="auto"/>
            </w:tcBorders>
            <w:vAlign w:val="center"/>
            <w:hideMark/>
          </w:tcPr>
          <w:p w14:paraId="46BBB13A"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Travail de construction spécialisée non classés ailleurs</w:t>
            </w:r>
          </w:p>
        </w:tc>
      </w:tr>
      <w:tr w:rsidR="003240C4" w:rsidRPr="003240C4" w14:paraId="600D019A"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D1FA79C"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4311Z</w:t>
            </w:r>
          </w:p>
        </w:tc>
        <w:tc>
          <w:tcPr>
            <w:tcW w:w="0" w:type="auto"/>
            <w:tcBorders>
              <w:top w:val="single" w:sz="4" w:space="0" w:color="auto"/>
              <w:left w:val="single" w:sz="4" w:space="0" w:color="auto"/>
              <w:bottom w:val="single" w:sz="4" w:space="0" w:color="auto"/>
              <w:right w:val="single" w:sz="4" w:space="0" w:color="auto"/>
            </w:tcBorders>
            <w:vAlign w:val="center"/>
            <w:hideMark/>
          </w:tcPr>
          <w:p w14:paraId="526DF997"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Travaux de démolition</w:t>
            </w:r>
          </w:p>
        </w:tc>
      </w:tr>
      <w:tr w:rsidR="003240C4" w:rsidRPr="003240C4" w14:paraId="4DA5DA8A"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E03526D"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4312A</w:t>
            </w:r>
          </w:p>
        </w:tc>
        <w:tc>
          <w:tcPr>
            <w:tcW w:w="0" w:type="auto"/>
            <w:tcBorders>
              <w:top w:val="single" w:sz="4" w:space="0" w:color="auto"/>
              <w:left w:val="single" w:sz="4" w:space="0" w:color="auto"/>
              <w:bottom w:val="single" w:sz="4" w:space="0" w:color="auto"/>
              <w:right w:val="single" w:sz="4" w:space="0" w:color="auto"/>
            </w:tcBorders>
            <w:vAlign w:val="center"/>
            <w:hideMark/>
          </w:tcPr>
          <w:p w14:paraId="107E0581"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Travaux d’excavation</w:t>
            </w:r>
          </w:p>
        </w:tc>
      </w:tr>
      <w:tr w:rsidR="003240C4" w:rsidRPr="003240C4" w14:paraId="57B0759E"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EBDAE35"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4321A, 4321B</w:t>
            </w:r>
          </w:p>
        </w:tc>
        <w:tc>
          <w:tcPr>
            <w:tcW w:w="0" w:type="auto"/>
            <w:tcBorders>
              <w:top w:val="single" w:sz="4" w:space="0" w:color="auto"/>
              <w:left w:val="single" w:sz="4" w:space="0" w:color="auto"/>
              <w:bottom w:val="single" w:sz="4" w:space="0" w:color="auto"/>
              <w:right w:val="single" w:sz="4" w:space="0" w:color="auto"/>
            </w:tcBorders>
            <w:vAlign w:val="center"/>
            <w:hideMark/>
          </w:tcPr>
          <w:p w14:paraId="7DD10B6E"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Maçonnerie générale</w:t>
            </w:r>
          </w:p>
        </w:tc>
      </w:tr>
      <w:tr w:rsidR="003240C4" w:rsidRPr="003240C4" w14:paraId="62ADAE4E"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79D1594"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4322A, 4322B</w:t>
            </w:r>
          </w:p>
        </w:tc>
        <w:tc>
          <w:tcPr>
            <w:tcW w:w="0" w:type="auto"/>
            <w:tcBorders>
              <w:top w:val="single" w:sz="4" w:space="0" w:color="auto"/>
              <w:left w:val="single" w:sz="4" w:space="0" w:color="auto"/>
              <w:bottom w:val="single" w:sz="4" w:space="0" w:color="auto"/>
              <w:right w:val="single" w:sz="4" w:space="0" w:color="auto"/>
            </w:tcBorders>
            <w:vAlign w:val="center"/>
            <w:hideMark/>
          </w:tcPr>
          <w:p w14:paraId="505186D0"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Plâtrerie</w:t>
            </w:r>
          </w:p>
        </w:tc>
      </w:tr>
      <w:tr w:rsidR="003240C4" w:rsidRPr="003240C4" w14:paraId="4959E6D3"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C04D0E2"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4329A, 4329B</w:t>
            </w:r>
          </w:p>
        </w:tc>
        <w:tc>
          <w:tcPr>
            <w:tcW w:w="0" w:type="auto"/>
            <w:tcBorders>
              <w:top w:val="single" w:sz="4" w:space="0" w:color="auto"/>
              <w:left w:val="single" w:sz="4" w:space="0" w:color="auto"/>
              <w:bottom w:val="single" w:sz="4" w:space="0" w:color="auto"/>
              <w:right w:val="single" w:sz="4" w:space="0" w:color="auto"/>
            </w:tcBorders>
            <w:vAlign w:val="center"/>
            <w:hideMark/>
          </w:tcPr>
          <w:p w14:paraId="1FCE532F"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Revêtements des sols et des murs</w:t>
            </w:r>
          </w:p>
        </w:tc>
      </w:tr>
      <w:tr w:rsidR="003240C4" w:rsidRPr="003240C4" w14:paraId="078D32CE"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8F901B3"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4331Z</w:t>
            </w:r>
          </w:p>
        </w:tc>
        <w:tc>
          <w:tcPr>
            <w:tcW w:w="0" w:type="auto"/>
            <w:tcBorders>
              <w:top w:val="single" w:sz="4" w:space="0" w:color="auto"/>
              <w:left w:val="single" w:sz="4" w:space="0" w:color="auto"/>
              <w:bottom w:val="single" w:sz="4" w:space="0" w:color="auto"/>
              <w:right w:val="single" w:sz="4" w:space="0" w:color="auto"/>
            </w:tcBorders>
            <w:vAlign w:val="center"/>
            <w:hideMark/>
          </w:tcPr>
          <w:p w14:paraId="23C2E9B9"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Travaux de menuiserie bois et PVC</w:t>
            </w:r>
          </w:p>
        </w:tc>
      </w:tr>
      <w:tr w:rsidR="003240C4" w:rsidRPr="003240C4" w14:paraId="2ABEC5A4"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EE2BF15"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4332A, 4332B, 4332C</w:t>
            </w:r>
          </w:p>
        </w:tc>
        <w:tc>
          <w:tcPr>
            <w:tcW w:w="0" w:type="auto"/>
            <w:tcBorders>
              <w:top w:val="single" w:sz="4" w:space="0" w:color="auto"/>
              <w:left w:val="single" w:sz="4" w:space="0" w:color="auto"/>
              <w:bottom w:val="single" w:sz="4" w:space="0" w:color="auto"/>
              <w:right w:val="single" w:sz="4" w:space="0" w:color="auto"/>
            </w:tcBorders>
            <w:vAlign w:val="center"/>
            <w:hideMark/>
          </w:tcPr>
          <w:p w14:paraId="6BC975F2"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Travaux de charpente</w:t>
            </w:r>
          </w:p>
        </w:tc>
      </w:tr>
      <w:tr w:rsidR="003240C4" w:rsidRPr="003240C4" w14:paraId="09438A8A"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3B100D0"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4333Z</w:t>
            </w:r>
          </w:p>
        </w:tc>
        <w:tc>
          <w:tcPr>
            <w:tcW w:w="0" w:type="auto"/>
            <w:tcBorders>
              <w:top w:val="single" w:sz="4" w:space="0" w:color="auto"/>
              <w:left w:val="single" w:sz="4" w:space="0" w:color="auto"/>
              <w:bottom w:val="single" w:sz="4" w:space="0" w:color="auto"/>
              <w:right w:val="single" w:sz="4" w:space="0" w:color="auto"/>
            </w:tcBorders>
            <w:vAlign w:val="center"/>
            <w:hideMark/>
          </w:tcPr>
          <w:p w14:paraId="68791C67"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Travaux de couverture</w:t>
            </w:r>
          </w:p>
        </w:tc>
      </w:tr>
      <w:tr w:rsidR="003240C4" w:rsidRPr="003240C4" w14:paraId="1E290F8D"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F2691EB"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4334Z</w:t>
            </w:r>
          </w:p>
        </w:tc>
        <w:tc>
          <w:tcPr>
            <w:tcW w:w="0" w:type="auto"/>
            <w:tcBorders>
              <w:top w:val="single" w:sz="4" w:space="0" w:color="auto"/>
              <w:left w:val="single" w:sz="4" w:space="0" w:color="auto"/>
              <w:bottom w:val="single" w:sz="4" w:space="0" w:color="auto"/>
              <w:right w:val="single" w:sz="4" w:space="0" w:color="auto"/>
            </w:tcBorders>
            <w:vAlign w:val="center"/>
            <w:hideMark/>
          </w:tcPr>
          <w:p w14:paraId="05B8D0A5"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Travaux d’étanchéité</w:t>
            </w:r>
          </w:p>
        </w:tc>
      </w:tr>
      <w:tr w:rsidR="003240C4" w:rsidRPr="003240C4" w14:paraId="744A97C2"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846643F"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4339Z</w:t>
            </w:r>
          </w:p>
        </w:tc>
        <w:tc>
          <w:tcPr>
            <w:tcW w:w="0" w:type="auto"/>
            <w:tcBorders>
              <w:top w:val="single" w:sz="4" w:space="0" w:color="auto"/>
              <w:left w:val="single" w:sz="4" w:space="0" w:color="auto"/>
              <w:bottom w:val="single" w:sz="4" w:space="0" w:color="auto"/>
              <w:right w:val="single" w:sz="4" w:space="0" w:color="auto"/>
            </w:tcBorders>
            <w:vAlign w:val="center"/>
            <w:hideMark/>
          </w:tcPr>
          <w:p w14:paraId="2F809E6D"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Autres travaux de finition</w:t>
            </w:r>
          </w:p>
        </w:tc>
      </w:tr>
      <w:tr w:rsidR="003240C4" w:rsidRPr="003240C4" w14:paraId="31F23D05"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CACD759"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4391A, 4391B</w:t>
            </w:r>
          </w:p>
        </w:tc>
        <w:tc>
          <w:tcPr>
            <w:tcW w:w="0" w:type="auto"/>
            <w:tcBorders>
              <w:top w:val="single" w:sz="4" w:space="0" w:color="auto"/>
              <w:left w:val="single" w:sz="4" w:space="0" w:color="auto"/>
              <w:bottom w:val="single" w:sz="4" w:space="0" w:color="auto"/>
              <w:right w:val="single" w:sz="4" w:space="0" w:color="auto"/>
            </w:tcBorders>
            <w:vAlign w:val="center"/>
            <w:hideMark/>
          </w:tcPr>
          <w:p w14:paraId="3DCE647F"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Travaux de maçonnerie spécialisée</w:t>
            </w:r>
          </w:p>
        </w:tc>
      </w:tr>
      <w:tr w:rsidR="003240C4" w:rsidRPr="003240C4" w14:paraId="75270C8A"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51BBD56"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4399A, 4399B, 4399C, 4399D</w:t>
            </w:r>
          </w:p>
        </w:tc>
        <w:tc>
          <w:tcPr>
            <w:tcW w:w="0" w:type="auto"/>
            <w:tcBorders>
              <w:top w:val="single" w:sz="4" w:space="0" w:color="auto"/>
              <w:left w:val="single" w:sz="4" w:space="0" w:color="auto"/>
              <w:bottom w:val="single" w:sz="4" w:space="0" w:color="auto"/>
              <w:right w:val="single" w:sz="4" w:space="0" w:color="auto"/>
            </w:tcBorders>
            <w:vAlign w:val="center"/>
            <w:hideMark/>
          </w:tcPr>
          <w:p w14:paraId="043B61E4"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Autres travaux de construction spécialisés</w:t>
            </w:r>
          </w:p>
        </w:tc>
      </w:tr>
      <w:tr w:rsidR="003240C4" w:rsidRPr="003240C4" w14:paraId="4CD8DC20"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6190A7B"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4420A</w:t>
            </w:r>
          </w:p>
        </w:tc>
        <w:tc>
          <w:tcPr>
            <w:tcW w:w="0" w:type="auto"/>
            <w:tcBorders>
              <w:top w:val="single" w:sz="4" w:space="0" w:color="auto"/>
              <w:left w:val="single" w:sz="4" w:space="0" w:color="auto"/>
              <w:bottom w:val="single" w:sz="4" w:space="0" w:color="auto"/>
              <w:right w:val="single" w:sz="4" w:space="0" w:color="auto"/>
            </w:tcBorders>
            <w:vAlign w:val="center"/>
            <w:hideMark/>
          </w:tcPr>
          <w:p w14:paraId="39B416BB"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Construction de bâtiments (certains codes de gros œuvre) (mention possible dans certaines synthèses)</w:t>
            </w:r>
          </w:p>
        </w:tc>
      </w:tr>
      <w:tr w:rsidR="003240C4" w:rsidRPr="003240C4" w14:paraId="0D4F5C03"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6818973"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6420Z</w:t>
            </w:r>
          </w:p>
        </w:tc>
        <w:tc>
          <w:tcPr>
            <w:tcW w:w="0" w:type="auto"/>
            <w:tcBorders>
              <w:top w:val="single" w:sz="4" w:space="0" w:color="auto"/>
              <w:left w:val="single" w:sz="4" w:space="0" w:color="auto"/>
              <w:bottom w:val="single" w:sz="4" w:space="0" w:color="auto"/>
              <w:right w:val="single" w:sz="4" w:space="0" w:color="auto"/>
            </w:tcBorders>
            <w:vAlign w:val="center"/>
            <w:hideMark/>
          </w:tcPr>
          <w:p w14:paraId="2282C1BE"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Activités de télécommunications / services (parfois liées aux activités de bâtiment) (mention accessoire)</w:t>
            </w:r>
          </w:p>
        </w:tc>
      </w:tr>
      <w:tr w:rsidR="003240C4" w:rsidRPr="003240C4" w14:paraId="4D470D2F"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889853B"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7112B</w:t>
            </w:r>
          </w:p>
        </w:tc>
        <w:tc>
          <w:tcPr>
            <w:tcW w:w="0" w:type="auto"/>
            <w:tcBorders>
              <w:top w:val="single" w:sz="4" w:space="0" w:color="auto"/>
              <w:left w:val="single" w:sz="4" w:space="0" w:color="auto"/>
              <w:bottom w:val="single" w:sz="4" w:space="0" w:color="auto"/>
              <w:right w:val="single" w:sz="4" w:space="0" w:color="auto"/>
            </w:tcBorders>
            <w:vAlign w:val="center"/>
            <w:hideMark/>
          </w:tcPr>
          <w:p w14:paraId="0EC8ED5F" w14:textId="77777777" w:rsidR="003240C4" w:rsidRPr="003240C4" w:rsidRDefault="003240C4" w:rsidP="003240C4">
            <w:pPr>
              <w:spacing w:after="0" w:line="240" w:lineRule="auto"/>
              <w:rPr>
                <w:rFonts w:ascii="Times New Roman" w:eastAsia="Times New Roman" w:hAnsi="Times New Roman" w:cs="Times New Roman"/>
                <w:kern w:val="0"/>
                <w:sz w:val="24"/>
                <w:szCs w:val="24"/>
                <w:lang w:eastAsia="fr-FR"/>
                <w14:ligatures w14:val="none"/>
              </w:rPr>
            </w:pPr>
            <w:r w:rsidRPr="003240C4">
              <w:rPr>
                <w:rFonts w:ascii="Times New Roman" w:eastAsia="Times New Roman" w:hAnsi="Times New Roman" w:cs="Times New Roman"/>
                <w:kern w:val="0"/>
                <w:sz w:val="24"/>
                <w:szCs w:val="24"/>
                <w:lang w:eastAsia="fr-FR"/>
                <w14:ligatures w14:val="none"/>
              </w:rPr>
              <w:t>Ingénierie, études techniques (dans des cas de personnel ETAM intervenant dans les bureaux techniques du bâtiment)</w:t>
            </w:r>
          </w:p>
        </w:tc>
      </w:tr>
    </w:tbl>
    <w:p w14:paraId="77C80E3B" w14:textId="77777777" w:rsidR="003240C4" w:rsidRPr="006B025A" w:rsidRDefault="003240C4" w:rsidP="003240C4"/>
    <w:p w14:paraId="313867D2" w14:textId="3676BDF4" w:rsidR="003240C4" w:rsidRPr="003240C4" w:rsidRDefault="003240C4" w:rsidP="003240C4">
      <w:pPr>
        <w:rPr>
          <w:rFonts w:ascii="Times New Roman" w:hAnsi="Times New Roman" w:cs="Times New Roman"/>
        </w:rPr>
      </w:pPr>
      <w:r>
        <w:rPr>
          <w:rFonts w:ascii="Times New Roman" w:hAnsi="Times New Roman" w:cs="Times New Roman"/>
        </w:rPr>
        <w:t>R</w:t>
      </w:r>
      <w:r w:rsidRPr="003240C4">
        <w:rPr>
          <w:rFonts w:ascii="Times New Roman" w:hAnsi="Times New Roman" w:cs="Times New Roman"/>
        </w:rPr>
        <w:t>emarques de vigilance &amp; limites</w:t>
      </w:r>
    </w:p>
    <w:p w14:paraId="5BF3BC87" w14:textId="77777777" w:rsidR="003240C4" w:rsidRPr="003240C4" w:rsidRDefault="003240C4" w:rsidP="003240C4">
      <w:pPr>
        <w:numPr>
          <w:ilvl w:val="0"/>
          <w:numId w:val="16"/>
        </w:numPr>
        <w:rPr>
          <w:rFonts w:ascii="Times New Roman" w:hAnsi="Times New Roman" w:cs="Times New Roman"/>
        </w:rPr>
      </w:pPr>
      <w:r w:rsidRPr="003240C4">
        <w:rPr>
          <w:rFonts w:ascii="Times New Roman" w:hAnsi="Times New Roman" w:cs="Times New Roman"/>
        </w:rPr>
        <w:lastRenderedPageBreak/>
        <w:t>Ces codes ne garantissent pas automatiquement que toute entreprise immatriculée sous ce code est soumise à la CCN 2609. Il faut vérifier que l’activité principale de l’entreprise est bien de nature bâtiment / travaux et que les salariés concernés sont des ETAM (employés, techniciens, agents de maîtrise).</w:t>
      </w:r>
    </w:p>
    <w:p w14:paraId="30946DB2" w14:textId="77777777" w:rsidR="003240C4" w:rsidRPr="003240C4" w:rsidRDefault="003240C4" w:rsidP="003240C4">
      <w:pPr>
        <w:numPr>
          <w:ilvl w:val="0"/>
          <w:numId w:val="16"/>
        </w:numPr>
        <w:rPr>
          <w:rFonts w:ascii="Times New Roman" w:hAnsi="Times New Roman" w:cs="Times New Roman"/>
        </w:rPr>
      </w:pPr>
      <w:r w:rsidRPr="003240C4">
        <w:rPr>
          <w:rFonts w:ascii="Times New Roman" w:hAnsi="Times New Roman" w:cs="Times New Roman"/>
        </w:rPr>
        <w:t>Activités accessoires ou mixtes : une entreprise peut avoir plusieurs activités (ex. travaux spécialisés / génie civil / services techniques). Si l’activité dominante est du bâtiment ou que l’activité des ETAM relève du secteur bâtiment, la convention peut s’appliquer.</w:t>
      </w:r>
    </w:p>
    <w:p w14:paraId="494119A9" w14:textId="77777777" w:rsidR="003240C4" w:rsidRPr="003240C4" w:rsidRDefault="003240C4" w:rsidP="003240C4">
      <w:pPr>
        <w:numPr>
          <w:ilvl w:val="0"/>
          <w:numId w:val="16"/>
        </w:numPr>
        <w:rPr>
          <w:rFonts w:ascii="Times New Roman" w:hAnsi="Times New Roman" w:cs="Times New Roman"/>
        </w:rPr>
      </w:pPr>
      <w:r w:rsidRPr="003240C4">
        <w:rPr>
          <w:rFonts w:ascii="Times New Roman" w:hAnsi="Times New Roman" w:cs="Times New Roman"/>
        </w:rPr>
        <w:t>Exceptions : certains codes APE peuvent être exclus selon les clauses de l'entreprise ou selon les décisions jurisprudentielles, ou lorsque l’activité relève d’un autre secteur déjà couvert par une convention différente (par exemple certaines activités de bureaux d’études, services informatiques, etc.).</w:t>
      </w:r>
    </w:p>
    <w:p w14:paraId="6182339F" w14:textId="77777777" w:rsidR="003240C4" w:rsidRPr="003240C4" w:rsidRDefault="003240C4" w:rsidP="003240C4">
      <w:pPr>
        <w:numPr>
          <w:ilvl w:val="0"/>
          <w:numId w:val="16"/>
        </w:numPr>
        <w:rPr>
          <w:rFonts w:ascii="Times New Roman" w:hAnsi="Times New Roman" w:cs="Times New Roman"/>
        </w:rPr>
      </w:pPr>
      <w:r w:rsidRPr="003240C4">
        <w:rPr>
          <w:rFonts w:ascii="Times New Roman" w:hAnsi="Times New Roman" w:cs="Times New Roman"/>
        </w:rPr>
        <w:t>Mises à jour / variations régionales : des accords locaux ou des interprétations peuvent restreindre ou élargir le champ d’application dans certaines régions.</w:t>
      </w:r>
    </w:p>
    <w:p w14:paraId="5B0342B0" w14:textId="77777777" w:rsidR="003240C4" w:rsidRPr="003240C4" w:rsidRDefault="003240C4" w:rsidP="003240C4">
      <w:pPr>
        <w:numPr>
          <w:ilvl w:val="0"/>
          <w:numId w:val="16"/>
        </w:numPr>
        <w:rPr>
          <w:rFonts w:ascii="Times New Roman" w:hAnsi="Times New Roman" w:cs="Times New Roman"/>
        </w:rPr>
      </w:pPr>
      <w:r w:rsidRPr="003240C4">
        <w:rPr>
          <w:rFonts w:ascii="Times New Roman" w:hAnsi="Times New Roman" w:cs="Times New Roman"/>
        </w:rPr>
        <w:t>Source officielle : pour confirmation juridique, il est utile de vérifier le texte de la convention dans ses annexes ou conventions d’extension, qui peuvent lister précisément les codes APE retenus ou exclus.</w:t>
      </w:r>
    </w:p>
    <w:p w14:paraId="0BD6EEDF" w14:textId="7503D43B" w:rsidR="0091301E" w:rsidRPr="00804646" w:rsidRDefault="0091301E" w:rsidP="00804646">
      <w:pPr>
        <w:pStyle w:val="Paragraphedeliste"/>
        <w:numPr>
          <w:ilvl w:val="1"/>
          <w:numId w:val="16"/>
        </w:numPr>
        <w:rPr>
          <w:rFonts w:ascii="Times New Roman" w:hAnsi="Times New Roman" w:cs="Times New Roman"/>
          <w:sz w:val="24"/>
          <w:szCs w:val="24"/>
        </w:rPr>
      </w:pPr>
      <w:r w:rsidRPr="00804646">
        <w:rPr>
          <w:rFonts w:ascii="Times New Roman" w:hAnsi="Times New Roman" w:cs="Times New Roman"/>
          <w:sz w:val="24"/>
          <w:szCs w:val="24"/>
        </w:rPr>
        <w:t>Principe général</w:t>
      </w:r>
    </w:p>
    <w:p w14:paraId="4F969B88" w14:textId="070636B8" w:rsidR="0091301E" w:rsidRPr="0091301E" w:rsidRDefault="0091301E" w:rsidP="0091301E">
      <w:pPr>
        <w:rPr>
          <w:rFonts w:ascii="Times New Roman" w:hAnsi="Times New Roman" w:cs="Times New Roman"/>
          <w:sz w:val="24"/>
          <w:szCs w:val="24"/>
        </w:rPr>
      </w:pPr>
      <w:r w:rsidRPr="0091301E">
        <w:rPr>
          <w:rFonts w:ascii="Times New Roman" w:hAnsi="Times New Roman" w:cs="Times New Roman"/>
          <w:sz w:val="24"/>
          <w:szCs w:val="24"/>
        </w:rPr>
        <w:t>La convention collective applicable est celle qui correspond à l’activité principale de l’entreprise (et non à la forme juridique ni au siège social).</w:t>
      </w:r>
    </w:p>
    <w:p w14:paraId="5FD984EC" w14:textId="77777777" w:rsidR="0091301E" w:rsidRPr="0091301E" w:rsidRDefault="0091301E" w:rsidP="0091301E">
      <w:pPr>
        <w:numPr>
          <w:ilvl w:val="0"/>
          <w:numId w:val="18"/>
        </w:numPr>
        <w:rPr>
          <w:rFonts w:ascii="Times New Roman" w:hAnsi="Times New Roman" w:cs="Times New Roman"/>
          <w:sz w:val="24"/>
          <w:szCs w:val="24"/>
        </w:rPr>
      </w:pPr>
      <w:r w:rsidRPr="0091301E">
        <w:rPr>
          <w:rFonts w:ascii="Times New Roman" w:hAnsi="Times New Roman" w:cs="Times New Roman"/>
          <w:sz w:val="24"/>
          <w:szCs w:val="24"/>
        </w:rPr>
        <w:t>Base juridique : articles L.2261-2 et suivants du Code du travail + jurisprudence constante de la Cour de cassation.</w:t>
      </w:r>
    </w:p>
    <w:p w14:paraId="36CD4DBE" w14:textId="77777777" w:rsidR="0091301E" w:rsidRPr="0091301E" w:rsidRDefault="0091301E" w:rsidP="0091301E">
      <w:pPr>
        <w:numPr>
          <w:ilvl w:val="0"/>
          <w:numId w:val="18"/>
        </w:numPr>
        <w:rPr>
          <w:rFonts w:ascii="Times New Roman" w:hAnsi="Times New Roman" w:cs="Times New Roman"/>
          <w:sz w:val="24"/>
          <w:szCs w:val="24"/>
        </w:rPr>
      </w:pPr>
      <w:r w:rsidRPr="0091301E">
        <w:rPr>
          <w:rFonts w:ascii="Times New Roman" w:hAnsi="Times New Roman" w:cs="Times New Roman"/>
          <w:sz w:val="24"/>
          <w:szCs w:val="24"/>
        </w:rPr>
        <w:t>C’est l’activité principale exercée par l’ensemble du personnel salarié qui compte.</w:t>
      </w:r>
    </w:p>
    <w:p w14:paraId="7D2C3D19" w14:textId="77777777" w:rsidR="0091301E" w:rsidRPr="0091301E" w:rsidRDefault="0091301E" w:rsidP="0091301E">
      <w:pPr>
        <w:rPr>
          <w:rFonts w:ascii="Times New Roman" w:hAnsi="Times New Roman" w:cs="Times New Roman"/>
          <w:sz w:val="24"/>
          <w:szCs w:val="24"/>
        </w:rPr>
      </w:pPr>
      <w:r w:rsidRPr="0091301E">
        <w:rPr>
          <w:rFonts w:ascii="Times New Roman" w:hAnsi="Times New Roman" w:cs="Times New Roman"/>
          <w:sz w:val="24"/>
          <w:szCs w:val="24"/>
        </w:rPr>
        <w:pict w14:anchorId="07F63835">
          <v:rect id="_x0000_i1080" style="width:0;height:1.5pt" o:hralign="center" o:hrstd="t" o:hr="t" fillcolor="#a0a0a0" stroked="f"/>
        </w:pict>
      </w:r>
    </w:p>
    <w:p w14:paraId="2530E870" w14:textId="3D056C05" w:rsidR="0091301E" w:rsidRPr="00804646" w:rsidRDefault="0091301E" w:rsidP="00804646">
      <w:pPr>
        <w:pStyle w:val="Paragraphedeliste"/>
        <w:numPr>
          <w:ilvl w:val="1"/>
          <w:numId w:val="16"/>
        </w:numPr>
        <w:rPr>
          <w:rFonts w:ascii="Times New Roman" w:hAnsi="Times New Roman" w:cs="Times New Roman"/>
          <w:sz w:val="24"/>
          <w:szCs w:val="24"/>
        </w:rPr>
      </w:pPr>
      <w:r w:rsidRPr="00804646">
        <w:rPr>
          <w:rFonts w:ascii="Times New Roman" w:hAnsi="Times New Roman" w:cs="Times New Roman"/>
          <w:sz w:val="24"/>
          <w:szCs w:val="24"/>
        </w:rPr>
        <w:t>Comment déterminer l’activité principale ?</w:t>
      </w:r>
    </w:p>
    <w:p w14:paraId="6051CA02" w14:textId="77777777" w:rsidR="0091301E" w:rsidRPr="0091301E" w:rsidRDefault="0091301E" w:rsidP="0091301E">
      <w:pPr>
        <w:rPr>
          <w:rFonts w:ascii="Times New Roman" w:hAnsi="Times New Roman" w:cs="Times New Roman"/>
          <w:sz w:val="24"/>
          <w:szCs w:val="24"/>
        </w:rPr>
      </w:pPr>
      <w:r w:rsidRPr="0091301E">
        <w:rPr>
          <w:rFonts w:ascii="Times New Roman" w:hAnsi="Times New Roman" w:cs="Times New Roman"/>
          <w:sz w:val="24"/>
          <w:szCs w:val="24"/>
        </w:rPr>
        <w:t>Plusieurs critères sont utilisés dans l’ordre de priorité :</w:t>
      </w:r>
    </w:p>
    <w:p w14:paraId="3CBF86D8" w14:textId="77777777" w:rsidR="0091301E" w:rsidRPr="0091301E" w:rsidRDefault="0091301E" w:rsidP="0091301E">
      <w:pPr>
        <w:rPr>
          <w:rFonts w:ascii="Times New Roman" w:hAnsi="Times New Roman" w:cs="Times New Roman"/>
          <w:sz w:val="24"/>
          <w:szCs w:val="24"/>
        </w:rPr>
      </w:pPr>
      <w:r w:rsidRPr="0091301E">
        <w:rPr>
          <w:rFonts w:ascii="Times New Roman" w:hAnsi="Times New Roman" w:cs="Times New Roman"/>
          <w:sz w:val="24"/>
          <w:szCs w:val="24"/>
        </w:rPr>
        <w:t>a) Activité réellement exercée par les salariés</w:t>
      </w:r>
    </w:p>
    <w:p w14:paraId="1AA4D753" w14:textId="77777777" w:rsidR="0091301E" w:rsidRPr="0091301E" w:rsidRDefault="0091301E" w:rsidP="0091301E">
      <w:pPr>
        <w:numPr>
          <w:ilvl w:val="0"/>
          <w:numId w:val="19"/>
        </w:numPr>
        <w:rPr>
          <w:rFonts w:ascii="Times New Roman" w:hAnsi="Times New Roman" w:cs="Times New Roman"/>
          <w:sz w:val="24"/>
          <w:szCs w:val="24"/>
        </w:rPr>
      </w:pPr>
      <w:r w:rsidRPr="0091301E">
        <w:rPr>
          <w:rFonts w:ascii="Times New Roman" w:hAnsi="Times New Roman" w:cs="Times New Roman"/>
          <w:sz w:val="24"/>
          <w:szCs w:val="24"/>
        </w:rPr>
        <w:t>L’activité principale est celle à laquelle participe le plus grand nombre de salariés (Cass. soc. 29 oct. 2003, n° 01-43.630).</w:t>
      </w:r>
    </w:p>
    <w:p w14:paraId="40E5503D" w14:textId="503767A9" w:rsidR="0091301E" w:rsidRPr="0091301E" w:rsidRDefault="0091301E" w:rsidP="0091301E">
      <w:pPr>
        <w:numPr>
          <w:ilvl w:val="0"/>
          <w:numId w:val="19"/>
        </w:numPr>
        <w:rPr>
          <w:rFonts w:ascii="Times New Roman" w:hAnsi="Times New Roman" w:cs="Times New Roman"/>
          <w:sz w:val="24"/>
          <w:szCs w:val="24"/>
        </w:rPr>
      </w:pPr>
      <w:r w:rsidRPr="0091301E">
        <w:rPr>
          <w:rFonts w:ascii="Times New Roman" w:hAnsi="Times New Roman" w:cs="Times New Roman"/>
          <w:sz w:val="24"/>
          <w:szCs w:val="24"/>
        </w:rPr>
        <w:t>Exemple : si 70 % des salariés travaillent à la maçonnerie et 30 % à l’activité de second œuvre, la CCN du gros œuvre s’ap</w:t>
      </w:r>
      <w:r w:rsidR="00804646">
        <w:rPr>
          <w:rFonts w:ascii="Times New Roman" w:hAnsi="Times New Roman" w:cs="Times New Roman"/>
          <w:sz w:val="24"/>
          <w:szCs w:val="24"/>
        </w:rPr>
        <w:t>plique</w:t>
      </w:r>
    </w:p>
    <w:p w14:paraId="6CCE108C" w14:textId="77777777" w:rsidR="009B7B9F" w:rsidRPr="009B7B9F" w:rsidRDefault="009B7B9F" w:rsidP="009B7B9F">
      <w:pPr>
        <w:rPr>
          <w:rFonts w:ascii="Times New Roman" w:hAnsi="Times New Roman" w:cs="Times New Roman"/>
          <w:sz w:val="24"/>
          <w:szCs w:val="24"/>
        </w:rPr>
      </w:pPr>
      <w:r w:rsidRPr="009B7B9F">
        <w:rPr>
          <w:rFonts w:ascii="Times New Roman" w:hAnsi="Times New Roman" w:cs="Times New Roman"/>
          <w:sz w:val="24"/>
          <w:szCs w:val="24"/>
        </w:rPr>
        <w:t>Chiffre d’affaires (CA) / valeur ajoutée</w:t>
      </w:r>
    </w:p>
    <w:p w14:paraId="385DB422" w14:textId="77777777" w:rsidR="009B7B9F" w:rsidRPr="009B7B9F" w:rsidRDefault="009B7B9F" w:rsidP="009B7B9F">
      <w:pPr>
        <w:numPr>
          <w:ilvl w:val="0"/>
          <w:numId w:val="20"/>
        </w:numPr>
        <w:rPr>
          <w:rFonts w:ascii="Times New Roman" w:hAnsi="Times New Roman" w:cs="Times New Roman"/>
          <w:sz w:val="24"/>
          <w:szCs w:val="24"/>
        </w:rPr>
      </w:pPr>
      <w:r w:rsidRPr="009B7B9F">
        <w:rPr>
          <w:rFonts w:ascii="Times New Roman" w:hAnsi="Times New Roman" w:cs="Times New Roman"/>
          <w:sz w:val="24"/>
          <w:szCs w:val="24"/>
        </w:rPr>
        <w:t>Si les activités sont très proches en effectifs, on examine la part respective de CA ou de la valeur ajoutée générée par chaque activité.</w:t>
      </w:r>
    </w:p>
    <w:p w14:paraId="7DD45E21" w14:textId="77777777" w:rsidR="009B7B9F" w:rsidRPr="009B7B9F" w:rsidRDefault="009B7B9F" w:rsidP="009B7B9F">
      <w:pPr>
        <w:numPr>
          <w:ilvl w:val="0"/>
          <w:numId w:val="20"/>
        </w:numPr>
        <w:rPr>
          <w:rFonts w:ascii="Times New Roman" w:hAnsi="Times New Roman" w:cs="Times New Roman"/>
          <w:sz w:val="24"/>
          <w:szCs w:val="24"/>
        </w:rPr>
      </w:pPr>
      <w:r w:rsidRPr="009B7B9F">
        <w:rPr>
          <w:rFonts w:ascii="Times New Roman" w:hAnsi="Times New Roman" w:cs="Times New Roman"/>
          <w:sz w:val="24"/>
          <w:szCs w:val="24"/>
        </w:rPr>
        <w:t>Cass. soc. 8 nov. 2000, n° 98-45.143 : l’activité principale est celle qui génère la plus grande part du CA effectivement réalisé par l’entreprise.</w:t>
      </w:r>
    </w:p>
    <w:p w14:paraId="572C19C3" w14:textId="77777777" w:rsidR="009B7B9F" w:rsidRPr="009B7B9F" w:rsidRDefault="009B7B9F" w:rsidP="009B7B9F">
      <w:pPr>
        <w:rPr>
          <w:rFonts w:ascii="Times New Roman" w:hAnsi="Times New Roman" w:cs="Times New Roman"/>
          <w:sz w:val="24"/>
          <w:szCs w:val="24"/>
        </w:rPr>
      </w:pPr>
      <w:r w:rsidRPr="009B7B9F">
        <w:rPr>
          <w:rFonts w:ascii="Times New Roman" w:hAnsi="Times New Roman" w:cs="Times New Roman"/>
          <w:sz w:val="24"/>
          <w:szCs w:val="24"/>
        </w:rPr>
        <w:t>c) Autres indices retenus par les juges</w:t>
      </w:r>
    </w:p>
    <w:p w14:paraId="51E53EC2" w14:textId="77777777" w:rsidR="009B7B9F" w:rsidRPr="009B7B9F" w:rsidRDefault="009B7B9F" w:rsidP="009B7B9F">
      <w:pPr>
        <w:numPr>
          <w:ilvl w:val="0"/>
          <w:numId w:val="21"/>
        </w:numPr>
        <w:rPr>
          <w:rFonts w:ascii="Times New Roman" w:hAnsi="Times New Roman" w:cs="Times New Roman"/>
          <w:sz w:val="24"/>
          <w:szCs w:val="24"/>
        </w:rPr>
      </w:pPr>
      <w:r w:rsidRPr="009B7B9F">
        <w:rPr>
          <w:rFonts w:ascii="Times New Roman" w:hAnsi="Times New Roman" w:cs="Times New Roman"/>
          <w:sz w:val="24"/>
          <w:szCs w:val="24"/>
        </w:rPr>
        <w:t>Importance du matériel utilisé,</w:t>
      </w:r>
    </w:p>
    <w:p w14:paraId="62A5680C" w14:textId="77777777" w:rsidR="009B7B9F" w:rsidRPr="009B7B9F" w:rsidRDefault="009B7B9F" w:rsidP="009B7B9F">
      <w:pPr>
        <w:numPr>
          <w:ilvl w:val="0"/>
          <w:numId w:val="21"/>
        </w:numPr>
        <w:rPr>
          <w:rFonts w:ascii="Times New Roman" w:hAnsi="Times New Roman" w:cs="Times New Roman"/>
          <w:sz w:val="24"/>
          <w:szCs w:val="24"/>
        </w:rPr>
      </w:pPr>
      <w:r w:rsidRPr="009B7B9F">
        <w:rPr>
          <w:rFonts w:ascii="Times New Roman" w:hAnsi="Times New Roman" w:cs="Times New Roman"/>
          <w:sz w:val="24"/>
          <w:szCs w:val="24"/>
        </w:rPr>
        <w:lastRenderedPageBreak/>
        <w:t>Temps consacré à chaque activité,</w:t>
      </w:r>
    </w:p>
    <w:p w14:paraId="7E9590D0" w14:textId="77777777" w:rsidR="009B7B9F" w:rsidRPr="009B7B9F" w:rsidRDefault="009B7B9F" w:rsidP="009B7B9F">
      <w:pPr>
        <w:numPr>
          <w:ilvl w:val="0"/>
          <w:numId w:val="21"/>
        </w:numPr>
        <w:rPr>
          <w:rFonts w:ascii="Times New Roman" w:hAnsi="Times New Roman" w:cs="Times New Roman"/>
          <w:sz w:val="24"/>
          <w:szCs w:val="24"/>
        </w:rPr>
      </w:pPr>
      <w:r w:rsidRPr="009B7B9F">
        <w:rPr>
          <w:rFonts w:ascii="Times New Roman" w:hAnsi="Times New Roman" w:cs="Times New Roman"/>
          <w:sz w:val="24"/>
          <w:szCs w:val="24"/>
        </w:rPr>
        <w:t>Organisation et but poursuivi par l’entreprise.</w:t>
      </w:r>
    </w:p>
    <w:p w14:paraId="75CE5A79" w14:textId="77777777" w:rsidR="009B7B9F" w:rsidRPr="009B7B9F" w:rsidRDefault="009B7B9F" w:rsidP="009B7B9F">
      <w:pPr>
        <w:rPr>
          <w:rFonts w:ascii="Times New Roman" w:hAnsi="Times New Roman" w:cs="Times New Roman"/>
          <w:sz w:val="24"/>
          <w:szCs w:val="24"/>
        </w:rPr>
      </w:pPr>
      <w:r w:rsidRPr="009B7B9F">
        <w:rPr>
          <w:rFonts w:ascii="Times New Roman" w:hAnsi="Times New Roman" w:cs="Times New Roman"/>
          <w:sz w:val="24"/>
          <w:szCs w:val="24"/>
        </w:rPr>
        <w:t>Cas particuliers</w:t>
      </w:r>
    </w:p>
    <w:p w14:paraId="0871B9DD" w14:textId="77777777" w:rsidR="009B7B9F" w:rsidRPr="009B7B9F" w:rsidRDefault="009B7B9F" w:rsidP="009B7B9F">
      <w:pPr>
        <w:numPr>
          <w:ilvl w:val="0"/>
          <w:numId w:val="22"/>
        </w:numPr>
        <w:rPr>
          <w:rFonts w:ascii="Times New Roman" w:hAnsi="Times New Roman" w:cs="Times New Roman"/>
          <w:sz w:val="24"/>
          <w:szCs w:val="24"/>
        </w:rPr>
      </w:pPr>
      <w:r w:rsidRPr="009B7B9F">
        <w:rPr>
          <w:rFonts w:ascii="Times New Roman" w:hAnsi="Times New Roman" w:cs="Times New Roman"/>
          <w:sz w:val="24"/>
          <w:szCs w:val="24"/>
        </w:rPr>
        <w:t>Pluralité d’établissements distincts :</w:t>
      </w:r>
      <w:r w:rsidRPr="009B7B9F">
        <w:rPr>
          <w:rFonts w:ascii="Times New Roman" w:hAnsi="Times New Roman" w:cs="Times New Roman"/>
          <w:sz w:val="24"/>
          <w:szCs w:val="24"/>
        </w:rPr>
        <w:br/>
        <w:t>La convention collective peut s’appliquer établissement par établissement, si chaque établissement exerce une activité autonome et différente. (Cass. soc. 15 juin 1994, n° 92-13.344).</w:t>
      </w:r>
    </w:p>
    <w:p w14:paraId="0DF407F7" w14:textId="77777777" w:rsidR="009B7B9F" w:rsidRPr="009B7B9F" w:rsidRDefault="009B7B9F" w:rsidP="009B7B9F">
      <w:pPr>
        <w:numPr>
          <w:ilvl w:val="0"/>
          <w:numId w:val="22"/>
        </w:numPr>
        <w:rPr>
          <w:rFonts w:ascii="Times New Roman" w:hAnsi="Times New Roman" w:cs="Times New Roman"/>
          <w:sz w:val="24"/>
          <w:szCs w:val="24"/>
        </w:rPr>
      </w:pPr>
      <w:r w:rsidRPr="009B7B9F">
        <w:rPr>
          <w:rFonts w:ascii="Times New Roman" w:hAnsi="Times New Roman" w:cs="Times New Roman"/>
          <w:sz w:val="24"/>
          <w:szCs w:val="24"/>
        </w:rPr>
        <w:t>Sous-traitance ou activités accessoires :</w:t>
      </w:r>
      <w:r w:rsidRPr="009B7B9F">
        <w:rPr>
          <w:rFonts w:ascii="Times New Roman" w:hAnsi="Times New Roman" w:cs="Times New Roman"/>
          <w:sz w:val="24"/>
          <w:szCs w:val="24"/>
        </w:rPr>
        <w:br/>
        <w:t>Une activité accessoire (par ex. négoce limité adossé à une activité de production) ne modifie pas la CCN applicable si elle reste minoritaire.</w:t>
      </w:r>
    </w:p>
    <w:p w14:paraId="65E23671" w14:textId="77777777" w:rsidR="009B7B9F" w:rsidRPr="009B7B9F" w:rsidRDefault="009B7B9F" w:rsidP="009B7B9F">
      <w:pPr>
        <w:numPr>
          <w:ilvl w:val="0"/>
          <w:numId w:val="22"/>
        </w:numPr>
        <w:rPr>
          <w:rFonts w:ascii="Times New Roman" w:hAnsi="Times New Roman" w:cs="Times New Roman"/>
          <w:sz w:val="24"/>
          <w:szCs w:val="24"/>
        </w:rPr>
      </w:pPr>
      <w:r w:rsidRPr="009B7B9F">
        <w:rPr>
          <w:rFonts w:ascii="Times New Roman" w:hAnsi="Times New Roman" w:cs="Times New Roman"/>
          <w:sz w:val="24"/>
          <w:szCs w:val="24"/>
        </w:rPr>
        <w:t>Seuils :</w:t>
      </w:r>
      <w:r w:rsidRPr="009B7B9F">
        <w:rPr>
          <w:rFonts w:ascii="Times New Roman" w:hAnsi="Times New Roman" w:cs="Times New Roman"/>
          <w:sz w:val="24"/>
          <w:szCs w:val="24"/>
        </w:rPr>
        <w:br/>
        <w:t>Il n’existe pas de seuil légal fixe en % de CA ou effectif. Les juges apprécient au cas par cas, mais en pratique :</w:t>
      </w:r>
    </w:p>
    <w:p w14:paraId="324F713B" w14:textId="77777777" w:rsidR="009B7B9F" w:rsidRPr="009B7B9F" w:rsidRDefault="009B7B9F" w:rsidP="009B7B9F">
      <w:pPr>
        <w:numPr>
          <w:ilvl w:val="1"/>
          <w:numId w:val="22"/>
        </w:numPr>
        <w:rPr>
          <w:rFonts w:ascii="Times New Roman" w:hAnsi="Times New Roman" w:cs="Times New Roman"/>
          <w:sz w:val="24"/>
          <w:szCs w:val="24"/>
        </w:rPr>
      </w:pPr>
      <w:r w:rsidRPr="009B7B9F">
        <w:rPr>
          <w:rFonts w:ascii="Times New Roman" w:hAnsi="Times New Roman" w:cs="Times New Roman"/>
          <w:sz w:val="24"/>
          <w:szCs w:val="24"/>
        </w:rPr>
        <w:t>si une activité représente plus de 50 % des effectifs ou du CA, elle est considérée comme l’activité principale.</w:t>
      </w:r>
    </w:p>
    <w:p w14:paraId="2CB7B8A8" w14:textId="77777777" w:rsidR="009B7B9F" w:rsidRPr="009B7B9F" w:rsidRDefault="009B7B9F" w:rsidP="009B7B9F">
      <w:pPr>
        <w:numPr>
          <w:ilvl w:val="1"/>
          <w:numId w:val="22"/>
        </w:numPr>
        <w:rPr>
          <w:rFonts w:ascii="Times New Roman" w:hAnsi="Times New Roman" w:cs="Times New Roman"/>
          <w:sz w:val="24"/>
          <w:szCs w:val="24"/>
        </w:rPr>
      </w:pPr>
      <w:r w:rsidRPr="009B7B9F">
        <w:rPr>
          <w:rFonts w:ascii="Times New Roman" w:hAnsi="Times New Roman" w:cs="Times New Roman"/>
          <w:sz w:val="24"/>
          <w:szCs w:val="24"/>
        </w:rPr>
        <w:t>en cas de répartition plus équilibrée, la jurisprudence combine effectifs + CA + organisation réelle pour trancher.</w:t>
      </w:r>
    </w:p>
    <w:p w14:paraId="1F33BECE" w14:textId="77777777" w:rsidR="009B7B9F" w:rsidRPr="009B7B9F" w:rsidRDefault="009B7B9F" w:rsidP="009B7B9F">
      <w:pPr>
        <w:rPr>
          <w:rFonts w:ascii="Times New Roman" w:hAnsi="Times New Roman" w:cs="Times New Roman"/>
          <w:sz w:val="24"/>
          <w:szCs w:val="24"/>
        </w:rPr>
      </w:pPr>
      <w:r w:rsidRPr="009B7B9F">
        <w:rPr>
          <w:rFonts w:ascii="Times New Roman" w:hAnsi="Times New Roman" w:cs="Times New Roman"/>
          <w:sz w:val="24"/>
          <w:szCs w:val="24"/>
        </w:rPr>
        <w:pict w14:anchorId="11DA1117">
          <v:rect id="_x0000_i1088" style="width:0;height:1.5pt" o:hralign="center" o:hrstd="t" o:hr="t" fillcolor="#a0a0a0" stroked="f"/>
        </w:pict>
      </w:r>
    </w:p>
    <w:p w14:paraId="7F4839E6" w14:textId="21EE08E2" w:rsidR="00804646" w:rsidRPr="00804646" w:rsidRDefault="00804646" w:rsidP="00804646">
      <w:pPr>
        <w:pStyle w:val="Paragraphedeliste"/>
        <w:numPr>
          <w:ilvl w:val="1"/>
          <w:numId w:val="16"/>
        </w:numPr>
        <w:rPr>
          <w:rFonts w:ascii="Times New Roman" w:hAnsi="Times New Roman" w:cs="Times New Roman"/>
          <w:sz w:val="24"/>
          <w:szCs w:val="24"/>
        </w:rPr>
      </w:pPr>
      <w:r w:rsidRPr="00804646">
        <w:rPr>
          <w:rFonts w:ascii="Times New Roman" w:hAnsi="Times New Roman" w:cs="Times New Roman"/>
          <w:sz w:val="24"/>
          <w:szCs w:val="24"/>
        </w:rPr>
        <w:t>. Synthèse des critères</w:t>
      </w:r>
    </w:p>
    <w:p w14:paraId="10E23706" w14:textId="77777777" w:rsidR="00804646" w:rsidRPr="00804646" w:rsidRDefault="00804646" w:rsidP="00804646">
      <w:pPr>
        <w:rPr>
          <w:rFonts w:ascii="Times New Roman" w:hAnsi="Times New Roman" w:cs="Times New Roman"/>
          <w:sz w:val="24"/>
          <w:szCs w:val="24"/>
        </w:rPr>
      </w:pPr>
      <w:r w:rsidRPr="00804646">
        <w:rPr>
          <w:rFonts w:ascii="Times New Roman" w:hAnsi="Times New Roman" w:cs="Times New Roman"/>
          <w:sz w:val="24"/>
          <w:szCs w:val="24"/>
        </w:rPr>
        <w:t>En résumé, l’activité principale (et donc la CCN applicable) est déterminée par :</w:t>
      </w:r>
    </w:p>
    <w:p w14:paraId="5165AE6E" w14:textId="77777777" w:rsidR="00804646" w:rsidRPr="00804646" w:rsidRDefault="00804646" w:rsidP="00804646">
      <w:pPr>
        <w:numPr>
          <w:ilvl w:val="0"/>
          <w:numId w:val="23"/>
        </w:numPr>
        <w:rPr>
          <w:rFonts w:ascii="Times New Roman" w:hAnsi="Times New Roman" w:cs="Times New Roman"/>
          <w:sz w:val="24"/>
          <w:szCs w:val="24"/>
        </w:rPr>
      </w:pPr>
      <w:r w:rsidRPr="00804646">
        <w:rPr>
          <w:rFonts w:ascii="Times New Roman" w:hAnsi="Times New Roman" w:cs="Times New Roman"/>
          <w:sz w:val="24"/>
          <w:szCs w:val="24"/>
        </w:rPr>
        <w:t>Critère humain : l’activité qui occupe le plus de salariés,</w:t>
      </w:r>
    </w:p>
    <w:p w14:paraId="44E19637" w14:textId="77777777" w:rsidR="00804646" w:rsidRPr="00804646" w:rsidRDefault="00804646" w:rsidP="00804646">
      <w:pPr>
        <w:numPr>
          <w:ilvl w:val="0"/>
          <w:numId w:val="23"/>
        </w:numPr>
        <w:rPr>
          <w:rFonts w:ascii="Times New Roman" w:hAnsi="Times New Roman" w:cs="Times New Roman"/>
          <w:sz w:val="24"/>
          <w:szCs w:val="24"/>
        </w:rPr>
      </w:pPr>
      <w:r w:rsidRPr="00804646">
        <w:rPr>
          <w:rFonts w:ascii="Times New Roman" w:hAnsi="Times New Roman" w:cs="Times New Roman"/>
          <w:sz w:val="24"/>
          <w:szCs w:val="24"/>
        </w:rPr>
        <w:t>Critère économique : l’activité qui génère le plus de CA / valeur ajoutée,</w:t>
      </w:r>
    </w:p>
    <w:p w14:paraId="1D4C972C" w14:textId="77777777" w:rsidR="00804646" w:rsidRPr="00804646" w:rsidRDefault="00804646" w:rsidP="00804646">
      <w:pPr>
        <w:numPr>
          <w:ilvl w:val="0"/>
          <w:numId w:val="23"/>
        </w:numPr>
        <w:rPr>
          <w:rFonts w:ascii="Times New Roman" w:hAnsi="Times New Roman" w:cs="Times New Roman"/>
          <w:sz w:val="24"/>
          <w:szCs w:val="24"/>
        </w:rPr>
      </w:pPr>
      <w:r w:rsidRPr="00804646">
        <w:rPr>
          <w:rFonts w:ascii="Times New Roman" w:hAnsi="Times New Roman" w:cs="Times New Roman"/>
          <w:sz w:val="24"/>
          <w:szCs w:val="24"/>
        </w:rPr>
        <w:t>Critère organisationnel : l’objet social et l’organisation matérielle,</w:t>
      </w:r>
    </w:p>
    <w:p w14:paraId="1E5028A3" w14:textId="77777777" w:rsidR="00804646" w:rsidRPr="00804646" w:rsidRDefault="00804646" w:rsidP="00804646">
      <w:pPr>
        <w:numPr>
          <w:ilvl w:val="0"/>
          <w:numId w:val="23"/>
        </w:numPr>
        <w:rPr>
          <w:b/>
          <w:bCs/>
        </w:rPr>
      </w:pPr>
      <w:r w:rsidRPr="00804646">
        <w:rPr>
          <w:rFonts w:ascii="Times New Roman" w:hAnsi="Times New Roman" w:cs="Times New Roman"/>
          <w:sz w:val="24"/>
          <w:szCs w:val="24"/>
        </w:rPr>
        <w:t>Cas particulier : pluralité d’établissements → CCN différente possible par établissement.</w:t>
      </w:r>
    </w:p>
    <w:p w14:paraId="2722314E" w14:textId="02CF5C95" w:rsidR="003240C4" w:rsidRPr="003240C4" w:rsidRDefault="003240C4" w:rsidP="003240C4">
      <w:pPr>
        <w:rPr>
          <w:b/>
          <w:bCs/>
        </w:rPr>
      </w:pPr>
    </w:p>
    <w:p w14:paraId="7EF082C1" w14:textId="77777777" w:rsidR="006B025A" w:rsidRPr="006B025A" w:rsidRDefault="006B025A" w:rsidP="006B025A">
      <w:pPr>
        <w:rPr>
          <w:rFonts w:ascii="Times New Roman" w:hAnsi="Times New Roman" w:cs="Times New Roman"/>
          <w:b/>
          <w:bCs/>
          <w:sz w:val="24"/>
          <w:szCs w:val="24"/>
        </w:rPr>
      </w:pPr>
      <w:r w:rsidRPr="006B025A">
        <w:rPr>
          <w:rFonts w:ascii="Times New Roman" w:hAnsi="Times New Roman" w:cs="Times New Roman"/>
          <w:b/>
          <w:bCs/>
          <w:sz w:val="24"/>
          <w:szCs w:val="24"/>
        </w:rPr>
        <w:t>Articulation entre CCN nationale et accords régionaux</w:t>
      </w:r>
    </w:p>
    <w:p w14:paraId="6BD526C3" w14:textId="77777777" w:rsidR="006B025A" w:rsidRPr="006B025A" w:rsidRDefault="006B025A" w:rsidP="006B025A">
      <w:pPr>
        <w:numPr>
          <w:ilvl w:val="0"/>
          <w:numId w:val="4"/>
        </w:numPr>
        <w:rPr>
          <w:rFonts w:ascii="Times New Roman" w:hAnsi="Times New Roman" w:cs="Times New Roman"/>
          <w:sz w:val="24"/>
          <w:szCs w:val="24"/>
        </w:rPr>
      </w:pPr>
      <w:r w:rsidRPr="006B025A">
        <w:rPr>
          <w:rFonts w:ascii="Times New Roman" w:hAnsi="Times New Roman" w:cs="Times New Roman"/>
          <w:b/>
          <w:bCs/>
          <w:sz w:val="24"/>
          <w:szCs w:val="24"/>
        </w:rPr>
        <w:t>Organisation hiérarchique :</w:t>
      </w:r>
      <w:r w:rsidRPr="006B025A">
        <w:rPr>
          <w:rFonts w:ascii="Times New Roman" w:hAnsi="Times New Roman" w:cs="Times New Roman"/>
          <w:sz w:val="24"/>
          <w:szCs w:val="24"/>
        </w:rPr>
        <w:t xml:space="preserve"> la CCN définit le cadre national (classification, règles générales). Les </w:t>
      </w:r>
      <w:r w:rsidRPr="006B025A">
        <w:rPr>
          <w:rFonts w:ascii="Times New Roman" w:hAnsi="Times New Roman" w:cs="Times New Roman"/>
          <w:b/>
          <w:bCs/>
          <w:sz w:val="24"/>
          <w:szCs w:val="24"/>
        </w:rPr>
        <w:t>accords régionaux</w:t>
      </w:r>
      <w:r w:rsidRPr="006B025A">
        <w:rPr>
          <w:rFonts w:ascii="Times New Roman" w:hAnsi="Times New Roman" w:cs="Times New Roman"/>
          <w:sz w:val="24"/>
          <w:szCs w:val="24"/>
        </w:rPr>
        <w:t xml:space="preserve"> peuvent compléter la CCN, en particulier pour </w:t>
      </w:r>
      <w:r w:rsidRPr="006B025A">
        <w:rPr>
          <w:rFonts w:ascii="Times New Roman" w:hAnsi="Times New Roman" w:cs="Times New Roman"/>
          <w:b/>
          <w:bCs/>
          <w:sz w:val="24"/>
          <w:szCs w:val="24"/>
        </w:rPr>
        <w:t>les minima salariaux</w:t>
      </w:r>
      <w:r w:rsidRPr="006B025A">
        <w:rPr>
          <w:rFonts w:ascii="Times New Roman" w:hAnsi="Times New Roman" w:cs="Times New Roman"/>
          <w:sz w:val="24"/>
          <w:szCs w:val="24"/>
        </w:rPr>
        <w:t>, indemnités de déplacement, etc., afin d’adapter les barèmes au contexte local.</w:t>
      </w:r>
    </w:p>
    <w:p w14:paraId="6B3D0265" w14:textId="77777777" w:rsidR="006B025A" w:rsidRPr="006B025A" w:rsidRDefault="006B025A" w:rsidP="006B025A">
      <w:pPr>
        <w:numPr>
          <w:ilvl w:val="0"/>
          <w:numId w:val="4"/>
        </w:numPr>
        <w:rPr>
          <w:rFonts w:ascii="Times New Roman" w:hAnsi="Times New Roman" w:cs="Times New Roman"/>
          <w:sz w:val="24"/>
          <w:szCs w:val="24"/>
        </w:rPr>
      </w:pPr>
      <w:r w:rsidRPr="006B025A">
        <w:rPr>
          <w:rFonts w:ascii="Times New Roman" w:hAnsi="Times New Roman" w:cs="Times New Roman"/>
          <w:b/>
          <w:bCs/>
          <w:sz w:val="24"/>
          <w:szCs w:val="24"/>
        </w:rPr>
        <w:t>Application pratique :</w:t>
      </w:r>
    </w:p>
    <w:p w14:paraId="1E91CAC3" w14:textId="77777777" w:rsidR="006B025A" w:rsidRPr="006B025A" w:rsidRDefault="006B025A" w:rsidP="006B025A">
      <w:pPr>
        <w:numPr>
          <w:ilvl w:val="1"/>
          <w:numId w:val="4"/>
        </w:numPr>
        <w:rPr>
          <w:rFonts w:ascii="Times New Roman" w:hAnsi="Times New Roman" w:cs="Times New Roman"/>
          <w:sz w:val="24"/>
          <w:szCs w:val="24"/>
        </w:rPr>
      </w:pPr>
      <w:r w:rsidRPr="006B025A">
        <w:rPr>
          <w:rFonts w:ascii="Times New Roman" w:hAnsi="Times New Roman" w:cs="Times New Roman"/>
          <w:sz w:val="24"/>
          <w:szCs w:val="24"/>
        </w:rPr>
        <w:t xml:space="preserve">Si un accord régional existe </w:t>
      </w:r>
      <w:r w:rsidRPr="006B025A">
        <w:rPr>
          <w:rFonts w:ascii="Times New Roman" w:hAnsi="Times New Roman" w:cs="Times New Roman"/>
          <w:b/>
          <w:bCs/>
          <w:sz w:val="24"/>
          <w:szCs w:val="24"/>
        </w:rPr>
        <w:t>et</w:t>
      </w:r>
      <w:r w:rsidRPr="006B025A">
        <w:rPr>
          <w:rFonts w:ascii="Times New Roman" w:hAnsi="Times New Roman" w:cs="Times New Roman"/>
          <w:sz w:val="24"/>
          <w:szCs w:val="24"/>
        </w:rPr>
        <w:t xml:space="preserve"> qu’il a été </w:t>
      </w:r>
      <w:r w:rsidRPr="006B025A">
        <w:rPr>
          <w:rFonts w:ascii="Times New Roman" w:hAnsi="Times New Roman" w:cs="Times New Roman"/>
          <w:b/>
          <w:bCs/>
          <w:sz w:val="24"/>
          <w:szCs w:val="24"/>
        </w:rPr>
        <w:t>étendu</w:t>
      </w:r>
      <w:r w:rsidRPr="006B025A">
        <w:rPr>
          <w:rFonts w:ascii="Times New Roman" w:hAnsi="Times New Roman" w:cs="Times New Roman"/>
          <w:sz w:val="24"/>
          <w:szCs w:val="24"/>
        </w:rPr>
        <w:t xml:space="preserve">, ses dispositions (ex. grille salariale) s’imposent à tous les employeurs du territoire concerné. </w:t>
      </w:r>
      <w:hyperlink r:id="rId14" w:tgtFrame="_blank" w:history="1">
        <w:r w:rsidRPr="006B025A">
          <w:rPr>
            <w:rStyle w:val="Lienhypertexte"/>
            <w:rFonts w:ascii="Times New Roman" w:hAnsi="Times New Roman" w:cs="Times New Roman"/>
            <w:sz w:val="24"/>
            <w:szCs w:val="24"/>
          </w:rPr>
          <w:t>Légifrance+1</w:t>
        </w:r>
      </w:hyperlink>
    </w:p>
    <w:p w14:paraId="5A1C6E3C" w14:textId="77777777" w:rsidR="006B025A" w:rsidRPr="006B025A" w:rsidRDefault="006B025A" w:rsidP="006B025A">
      <w:pPr>
        <w:numPr>
          <w:ilvl w:val="1"/>
          <w:numId w:val="4"/>
        </w:numPr>
        <w:rPr>
          <w:rFonts w:ascii="Times New Roman" w:hAnsi="Times New Roman" w:cs="Times New Roman"/>
          <w:sz w:val="24"/>
          <w:szCs w:val="24"/>
        </w:rPr>
      </w:pPr>
      <w:r w:rsidRPr="006B025A">
        <w:rPr>
          <w:rFonts w:ascii="Times New Roman" w:hAnsi="Times New Roman" w:cs="Times New Roman"/>
          <w:sz w:val="24"/>
          <w:szCs w:val="24"/>
        </w:rPr>
        <w:lastRenderedPageBreak/>
        <w:t>À défaut d’extension, l’accord régional ne lie que les employeurs signataires (ou adhérents à la fédération signataire).</w:t>
      </w:r>
    </w:p>
    <w:p w14:paraId="0FBDD402" w14:textId="77777777" w:rsidR="006B025A" w:rsidRPr="006B025A" w:rsidRDefault="006B025A" w:rsidP="006B025A">
      <w:pPr>
        <w:numPr>
          <w:ilvl w:val="0"/>
          <w:numId w:val="4"/>
        </w:numPr>
        <w:rPr>
          <w:rFonts w:ascii="Times New Roman" w:hAnsi="Times New Roman" w:cs="Times New Roman"/>
          <w:sz w:val="24"/>
          <w:szCs w:val="24"/>
        </w:rPr>
      </w:pPr>
      <w:r w:rsidRPr="006B025A">
        <w:rPr>
          <w:rFonts w:ascii="Times New Roman" w:hAnsi="Times New Roman" w:cs="Times New Roman"/>
          <w:b/>
          <w:bCs/>
          <w:sz w:val="24"/>
          <w:szCs w:val="24"/>
        </w:rPr>
        <w:t>Attention</w:t>
      </w:r>
      <w:r w:rsidRPr="006B025A">
        <w:rPr>
          <w:rFonts w:ascii="Times New Roman" w:hAnsi="Times New Roman" w:cs="Times New Roman"/>
          <w:sz w:val="24"/>
          <w:szCs w:val="24"/>
        </w:rPr>
        <w:t xml:space="preserve"> : certaines matières (ex. garanties minimales, protections) restent encadrées au niveau national ; les accords régionaux ne peuvent pas être moins favorables que le droit supérieur (principe de faveur applicable selon la hiérarchie des normes).</w:t>
      </w:r>
    </w:p>
    <w:p w14:paraId="623BBCE5" w14:textId="77777777" w:rsidR="006B025A" w:rsidRPr="006B025A" w:rsidRDefault="006B025A" w:rsidP="006B025A">
      <w:pPr>
        <w:rPr>
          <w:rFonts w:ascii="Times New Roman" w:hAnsi="Times New Roman" w:cs="Times New Roman"/>
          <w:b/>
          <w:bCs/>
          <w:sz w:val="24"/>
          <w:szCs w:val="24"/>
        </w:rPr>
      </w:pPr>
      <w:r w:rsidRPr="006B025A">
        <w:rPr>
          <w:rFonts w:ascii="Times New Roman" w:hAnsi="Times New Roman" w:cs="Times New Roman"/>
          <w:b/>
          <w:bCs/>
          <w:sz w:val="24"/>
          <w:szCs w:val="24"/>
        </w:rPr>
        <w:t>6) Grilles de salaires — modalité générale et 2025</w:t>
      </w:r>
    </w:p>
    <w:p w14:paraId="28CA8F3C" w14:textId="77777777" w:rsidR="006B025A" w:rsidRPr="006B025A" w:rsidRDefault="006B025A" w:rsidP="006B025A">
      <w:pPr>
        <w:numPr>
          <w:ilvl w:val="0"/>
          <w:numId w:val="5"/>
        </w:numPr>
        <w:rPr>
          <w:rFonts w:ascii="Times New Roman" w:hAnsi="Times New Roman" w:cs="Times New Roman"/>
          <w:sz w:val="24"/>
          <w:szCs w:val="24"/>
        </w:rPr>
      </w:pPr>
      <w:r w:rsidRPr="006B025A">
        <w:rPr>
          <w:rFonts w:ascii="Times New Roman" w:hAnsi="Times New Roman" w:cs="Times New Roman"/>
          <w:b/>
          <w:bCs/>
          <w:sz w:val="24"/>
          <w:szCs w:val="24"/>
        </w:rPr>
        <w:t>Structure habituelle :</w:t>
      </w:r>
      <w:r w:rsidRPr="006B025A">
        <w:rPr>
          <w:rFonts w:ascii="Times New Roman" w:hAnsi="Times New Roman" w:cs="Times New Roman"/>
          <w:sz w:val="24"/>
          <w:szCs w:val="24"/>
        </w:rPr>
        <w:t xml:space="preserve"> la CCN ETAM utilise une </w:t>
      </w:r>
      <w:r w:rsidRPr="006B025A">
        <w:rPr>
          <w:rFonts w:ascii="Times New Roman" w:hAnsi="Times New Roman" w:cs="Times New Roman"/>
          <w:b/>
          <w:bCs/>
          <w:sz w:val="24"/>
          <w:szCs w:val="24"/>
        </w:rPr>
        <w:t>classification en niveaux</w:t>
      </w:r>
      <w:r w:rsidRPr="006B025A">
        <w:rPr>
          <w:rFonts w:ascii="Times New Roman" w:hAnsi="Times New Roman" w:cs="Times New Roman"/>
          <w:sz w:val="24"/>
          <w:szCs w:val="24"/>
        </w:rPr>
        <w:t xml:space="preserve"> (souvent A → H) et fixe des minima mensuels/horaire par niveau pour un temps plein (classiquement 35 h/semaine).</w:t>
      </w:r>
    </w:p>
    <w:p w14:paraId="7DE5B5CD" w14:textId="77777777" w:rsidR="006B025A" w:rsidRPr="006B025A" w:rsidRDefault="006B025A" w:rsidP="006B025A">
      <w:pPr>
        <w:numPr>
          <w:ilvl w:val="0"/>
          <w:numId w:val="5"/>
        </w:numPr>
        <w:rPr>
          <w:rFonts w:ascii="Times New Roman" w:hAnsi="Times New Roman" w:cs="Times New Roman"/>
          <w:sz w:val="24"/>
          <w:szCs w:val="24"/>
        </w:rPr>
      </w:pPr>
      <w:r w:rsidRPr="006B025A">
        <w:rPr>
          <w:rFonts w:ascii="Times New Roman" w:hAnsi="Times New Roman" w:cs="Times New Roman"/>
          <w:b/>
          <w:bCs/>
          <w:sz w:val="24"/>
          <w:szCs w:val="24"/>
        </w:rPr>
        <w:t>Mises à jour récentes (2024/2025) :</w:t>
      </w:r>
      <w:r w:rsidRPr="006B025A">
        <w:rPr>
          <w:rFonts w:ascii="Times New Roman" w:hAnsi="Times New Roman" w:cs="Times New Roman"/>
          <w:sz w:val="24"/>
          <w:szCs w:val="24"/>
        </w:rPr>
        <w:t xml:space="preserve"> plusieurs accords régionaux mettant à jour les minima ont été signés fin 2024-début 2025 (Bretagne accord du 3 décembre 2024 — étendu par arrêté du 6 février 2025 — et autres régions avec arrêtés d’extension publiés en 2025). Les fédérations (FFB, outils « minima sociaux ») publient des récapitulatifs régionaux à jour. </w:t>
      </w:r>
      <w:hyperlink r:id="rId15" w:tgtFrame="_blank" w:history="1">
        <w:r w:rsidRPr="006B025A">
          <w:rPr>
            <w:rStyle w:val="Lienhypertexte"/>
            <w:rFonts w:ascii="Times New Roman" w:hAnsi="Times New Roman" w:cs="Times New Roman"/>
            <w:sz w:val="24"/>
            <w:szCs w:val="24"/>
          </w:rPr>
          <w:t>Légifrance+1</w:t>
        </w:r>
      </w:hyperlink>
    </w:p>
    <w:p w14:paraId="7401003F" w14:textId="461CBC92" w:rsidR="006B025A" w:rsidRPr="006B025A" w:rsidRDefault="006B025A" w:rsidP="006B025A">
      <w:pPr>
        <w:rPr>
          <w:rFonts w:ascii="Times New Roman" w:hAnsi="Times New Roman" w:cs="Times New Roman"/>
          <w:sz w:val="24"/>
          <w:szCs w:val="24"/>
        </w:rPr>
      </w:pPr>
    </w:p>
    <w:p w14:paraId="6573707D" w14:textId="77777777" w:rsidR="006B025A" w:rsidRPr="006B025A" w:rsidRDefault="006B025A" w:rsidP="006B025A">
      <w:pPr>
        <w:rPr>
          <w:rFonts w:ascii="Times New Roman" w:hAnsi="Times New Roman" w:cs="Times New Roman"/>
          <w:b/>
          <w:bCs/>
          <w:sz w:val="24"/>
          <w:szCs w:val="24"/>
        </w:rPr>
      </w:pPr>
      <w:r w:rsidRPr="006B025A">
        <w:rPr>
          <w:rFonts w:ascii="Times New Roman" w:hAnsi="Times New Roman" w:cs="Times New Roman"/>
          <w:b/>
          <w:bCs/>
          <w:sz w:val="24"/>
          <w:szCs w:val="24"/>
        </w:rPr>
        <w:t>7) Principales dispositions pratiques à connaître</w:t>
      </w:r>
    </w:p>
    <w:p w14:paraId="18AF5224" w14:textId="77777777" w:rsidR="006B025A" w:rsidRPr="006B025A" w:rsidRDefault="006B025A" w:rsidP="006B025A">
      <w:pPr>
        <w:numPr>
          <w:ilvl w:val="0"/>
          <w:numId w:val="6"/>
        </w:numPr>
        <w:rPr>
          <w:rFonts w:ascii="Times New Roman" w:hAnsi="Times New Roman" w:cs="Times New Roman"/>
          <w:sz w:val="24"/>
          <w:szCs w:val="24"/>
        </w:rPr>
      </w:pPr>
      <w:r w:rsidRPr="006B025A">
        <w:rPr>
          <w:rFonts w:ascii="Times New Roman" w:hAnsi="Times New Roman" w:cs="Times New Roman"/>
          <w:b/>
          <w:bCs/>
          <w:sz w:val="24"/>
          <w:szCs w:val="24"/>
        </w:rPr>
        <w:t>Durée du travail et horaires</w:t>
      </w:r>
      <w:r w:rsidRPr="006B025A">
        <w:rPr>
          <w:rFonts w:ascii="Times New Roman" w:hAnsi="Times New Roman" w:cs="Times New Roman"/>
          <w:sz w:val="24"/>
          <w:szCs w:val="24"/>
        </w:rPr>
        <w:t xml:space="preserve"> : la CCN traite des règles (forfaits, heures supplémentaires, modulation, astreintes selon profils). Les accords régionaux peuvent préciser modalités pratiques locales. </w:t>
      </w:r>
      <w:hyperlink r:id="rId16" w:tgtFrame="_blank" w:history="1">
        <w:r w:rsidRPr="006B025A">
          <w:rPr>
            <w:rStyle w:val="Lienhypertexte"/>
            <w:rFonts w:ascii="Times New Roman" w:hAnsi="Times New Roman" w:cs="Times New Roman"/>
            <w:sz w:val="24"/>
            <w:szCs w:val="24"/>
          </w:rPr>
          <w:t>Code du travail numérique</w:t>
        </w:r>
      </w:hyperlink>
    </w:p>
    <w:p w14:paraId="0996FFCF" w14:textId="77777777" w:rsidR="006B025A" w:rsidRPr="006B025A" w:rsidRDefault="006B025A" w:rsidP="006B025A">
      <w:pPr>
        <w:numPr>
          <w:ilvl w:val="0"/>
          <w:numId w:val="7"/>
        </w:numPr>
        <w:rPr>
          <w:rFonts w:ascii="Times New Roman" w:hAnsi="Times New Roman" w:cs="Times New Roman"/>
          <w:sz w:val="24"/>
          <w:szCs w:val="24"/>
        </w:rPr>
      </w:pPr>
      <w:r w:rsidRPr="006B025A">
        <w:rPr>
          <w:rFonts w:ascii="Times New Roman" w:hAnsi="Times New Roman" w:cs="Times New Roman"/>
          <w:b/>
          <w:bCs/>
          <w:sz w:val="24"/>
          <w:szCs w:val="24"/>
        </w:rPr>
        <w:t>Classification &amp; promotion</w:t>
      </w:r>
      <w:r w:rsidRPr="006B025A">
        <w:rPr>
          <w:rFonts w:ascii="Times New Roman" w:hAnsi="Times New Roman" w:cs="Times New Roman"/>
          <w:sz w:val="24"/>
          <w:szCs w:val="24"/>
        </w:rPr>
        <w:t xml:space="preserve"> : critères objectifs pour rattacher un salarié à un niveau (tâches, autonomie, responsabilité). La qualification détermine le minima applicable. </w:t>
      </w:r>
      <w:hyperlink r:id="rId17" w:tgtFrame="_blank" w:history="1">
        <w:r w:rsidRPr="006B025A">
          <w:rPr>
            <w:rStyle w:val="Lienhypertexte"/>
            <w:rFonts w:ascii="Times New Roman" w:hAnsi="Times New Roman" w:cs="Times New Roman"/>
            <w:sz w:val="24"/>
            <w:szCs w:val="24"/>
          </w:rPr>
          <w:t>Obat</w:t>
        </w:r>
      </w:hyperlink>
    </w:p>
    <w:p w14:paraId="00E07049" w14:textId="77777777" w:rsidR="006B025A" w:rsidRPr="006B025A" w:rsidRDefault="006B025A" w:rsidP="006B025A">
      <w:pPr>
        <w:numPr>
          <w:ilvl w:val="0"/>
          <w:numId w:val="7"/>
        </w:numPr>
        <w:rPr>
          <w:rFonts w:ascii="Times New Roman" w:hAnsi="Times New Roman" w:cs="Times New Roman"/>
          <w:sz w:val="24"/>
          <w:szCs w:val="24"/>
        </w:rPr>
      </w:pPr>
      <w:r w:rsidRPr="006B025A">
        <w:rPr>
          <w:rFonts w:ascii="Times New Roman" w:hAnsi="Times New Roman" w:cs="Times New Roman"/>
          <w:b/>
          <w:bCs/>
          <w:sz w:val="24"/>
          <w:szCs w:val="24"/>
        </w:rPr>
        <w:t>Indemnités</w:t>
      </w:r>
      <w:r w:rsidRPr="006B025A">
        <w:rPr>
          <w:rFonts w:ascii="Times New Roman" w:hAnsi="Times New Roman" w:cs="Times New Roman"/>
          <w:sz w:val="24"/>
          <w:szCs w:val="24"/>
        </w:rPr>
        <w:t xml:space="preserve"> : indemnités de déplacement, frais de petits déplacements et indemnités repas peuvent être fixées régionalement (zones et montants variables). </w:t>
      </w:r>
      <w:hyperlink r:id="rId18" w:tgtFrame="_blank" w:history="1">
        <w:r w:rsidRPr="006B025A">
          <w:rPr>
            <w:rStyle w:val="Lienhypertexte"/>
            <w:rFonts w:ascii="Times New Roman" w:hAnsi="Times New Roman" w:cs="Times New Roman"/>
            <w:sz w:val="24"/>
            <w:szCs w:val="24"/>
          </w:rPr>
          <w:t>Top Metiers</w:t>
        </w:r>
      </w:hyperlink>
    </w:p>
    <w:p w14:paraId="3D4049F5" w14:textId="77777777" w:rsidR="006B025A" w:rsidRPr="006B025A" w:rsidRDefault="006B025A" w:rsidP="006B025A">
      <w:pPr>
        <w:numPr>
          <w:ilvl w:val="0"/>
          <w:numId w:val="7"/>
        </w:numPr>
        <w:rPr>
          <w:rFonts w:ascii="Times New Roman" w:hAnsi="Times New Roman" w:cs="Times New Roman"/>
          <w:sz w:val="24"/>
          <w:szCs w:val="24"/>
        </w:rPr>
      </w:pPr>
      <w:r w:rsidRPr="006B025A">
        <w:rPr>
          <w:rFonts w:ascii="Times New Roman" w:hAnsi="Times New Roman" w:cs="Times New Roman"/>
          <w:b/>
          <w:bCs/>
          <w:sz w:val="24"/>
          <w:szCs w:val="24"/>
        </w:rPr>
        <w:t>Prévoyance / Santé</w:t>
      </w:r>
      <w:r w:rsidRPr="006B025A">
        <w:rPr>
          <w:rFonts w:ascii="Times New Roman" w:hAnsi="Times New Roman" w:cs="Times New Roman"/>
          <w:sz w:val="24"/>
          <w:szCs w:val="24"/>
        </w:rPr>
        <w:t xml:space="preserve"> : garanties collectives (prévo-retraite, frais de santé) sont souvent intégrées ou renvoyées à accords spécifiques de branche.</w:t>
      </w:r>
    </w:p>
    <w:p w14:paraId="666200A3" w14:textId="77777777" w:rsidR="006B025A" w:rsidRPr="006B025A" w:rsidRDefault="006B025A" w:rsidP="006B025A">
      <w:pPr>
        <w:numPr>
          <w:ilvl w:val="0"/>
          <w:numId w:val="7"/>
        </w:numPr>
        <w:rPr>
          <w:rFonts w:ascii="Times New Roman" w:hAnsi="Times New Roman" w:cs="Times New Roman"/>
          <w:sz w:val="24"/>
          <w:szCs w:val="24"/>
        </w:rPr>
      </w:pPr>
      <w:r w:rsidRPr="006B025A">
        <w:rPr>
          <w:rFonts w:ascii="Times New Roman" w:hAnsi="Times New Roman" w:cs="Times New Roman"/>
          <w:b/>
          <w:bCs/>
          <w:sz w:val="24"/>
          <w:szCs w:val="24"/>
        </w:rPr>
        <w:t>Rupture/Procédures</w:t>
      </w:r>
      <w:r w:rsidRPr="006B025A">
        <w:rPr>
          <w:rFonts w:ascii="Times New Roman" w:hAnsi="Times New Roman" w:cs="Times New Roman"/>
          <w:sz w:val="24"/>
          <w:szCs w:val="24"/>
        </w:rPr>
        <w:t xml:space="preserve"> : règles disciplinaires, temps d’essai, préavis et indemnités suivent les dispositions conventionnelles sauf dispositions plus favorables en entreprise. </w:t>
      </w:r>
      <w:hyperlink r:id="rId19" w:tgtFrame="_blank" w:history="1">
        <w:r w:rsidRPr="006B025A">
          <w:rPr>
            <w:rStyle w:val="Lienhypertexte"/>
            <w:rFonts w:ascii="Times New Roman" w:hAnsi="Times New Roman" w:cs="Times New Roman"/>
            <w:sz w:val="24"/>
            <w:szCs w:val="24"/>
          </w:rPr>
          <w:t>Code du travail numérique</w:t>
        </w:r>
      </w:hyperlink>
    </w:p>
    <w:p w14:paraId="58BF6134" w14:textId="77777777" w:rsidR="006B025A" w:rsidRPr="006B025A" w:rsidRDefault="006B025A" w:rsidP="006B025A">
      <w:pPr>
        <w:rPr>
          <w:rFonts w:ascii="Times New Roman" w:hAnsi="Times New Roman" w:cs="Times New Roman"/>
          <w:sz w:val="24"/>
          <w:szCs w:val="24"/>
        </w:rPr>
      </w:pPr>
      <w:r w:rsidRPr="006B025A">
        <w:rPr>
          <w:rFonts w:ascii="Times New Roman" w:hAnsi="Times New Roman" w:cs="Times New Roman"/>
          <w:sz w:val="24"/>
          <w:szCs w:val="24"/>
        </w:rPr>
        <w:pict w14:anchorId="3EFCF6DB">
          <v:rect id="_x0000_i1055" style="width:0;height:1.5pt" o:hralign="center" o:hrstd="t" o:hr="t" fillcolor="#a0a0a0" stroked="f"/>
        </w:pict>
      </w:r>
    </w:p>
    <w:p w14:paraId="4100E8A0" w14:textId="77777777" w:rsidR="006B025A" w:rsidRPr="006B025A" w:rsidRDefault="006B025A" w:rsidP="006B025A">
      <w:pPr>
        <w:rPr>
          <w:rFonts w:ascii="Times New Roman" w:hAnsi="Times New Roman" w:cs="Times New Roman"/>
          <w:b/>
          <w:bCs/>
          <w:sz w:val="24"/>
          <w:szCs w:val="24"/>
        </w:rPr>
      </w:pPr>
      <w:r w:rsidRPr="006B025A">
        <w:rPr>
          <w:rFonts w:ascii="Times New Roman" w:hAnsi="Times New Roman" w:cs="Times New Roman"/>
          <w:b/>
          <w:bCs/>
          <w:sz w:val="24"/>
          <w:szCs w:val="24"/>
        </w:rPr>
        <w:t>8) Où vérifier / comment obtenir les textes officiels</w:t>
      </w:r>
    </w:p>
    <w:p w14:paraId="5AE908B5" w14:textId="77777777" w:rsidR="006B025A" w:rsidRPr="006B025A" w:rsidRDefault="006B025A" w:rsidP="006B025A">
      <w:pPr>
        <w:numPr>
          <w:ilvl w:val="0"/>
          <w:numId w:val="8"/>
        </w:numPr>
        <w:rPr>
          <w:rFonts w:ascii="Times New Roman" w:hAnsi="Times New Roman" w:cs="Times New Roman"/>
          <w:sz w:val="24"/>
          <w:szCs w:val="24"/>
        </w:rPr>
      </w:pPr>
      <w:r w:rsidRPr="006B025A">
        <w:rPr>
          <w:rFonts w:ascii="Times New Roman" w:hAnsi="Times New Roman" w:cs="Times New Roman"/>
          <w:b/>
          <w:bCs/>
          <w:sz w:val="24"/>
          <w:szCs w:val="24"/>
        </w:rPr>
        <w:t>Légifrance</w:t>
      </w:r>
      <w:r w:rsidRPr="006B025A">
        <w:rPr>
          <w:rFonts w:ascii="Times New Roman" w:hAnsi="Times New Roman" w:cs="Times New Roman"/>
          <w:sz w:val="24"/>
          <w:szCs w:val="24"/>
        </w:rPr>
        <w:t xml:space="preserve"> : texte officiel de la CCN, accords régionaux et arrêtés d’extension (ex. arrêté d’extension Bretagne 6/02/2025). </w:t>
      </w:r>
      <w:hyperlink r:id="rId20" w:tgtFrame="_blank" w:history="1">
        <w:r w:rsidRPr="006B025A">
          <w:rPr>
            <w:rStyle w:val="Lienhypertexte"/>
            <w:rFonts w:ascii="Times New Roman" w:hAnsi="Times New Roman" w:cs="Times New Roman"/>
            <w:sz w:val="24"/>
            <w:szCs w:val="24"/>
          </w:rPr>
          <w:t>Légifrance+1</w:t>
        </w:r>
      </w:hyperlink>
    </w:p>
    <w:p w14:paraId="38FFE5A4" w14:textId="77777777" w:rsidR="006B025A" w:rsidRPr="006B025A" w:rsidRDefault="006B025A" w:rsidP="006B025A">
      <w:pPr>
        <w:numPr>
          <w:ilvl w:val="0"/>
          <w:numId w:val="8"/>
        </w:numPr>
        <w:rPr>
          <w:rFonts w:ascii="Times New Roman" w:hAnsi="Times New Roman" w:cs="Times New Roman"/>
          <w:sz w:val="24"/>
          <w:szCs w:val="24"/>
        </w:rPr>
      </w:pPr>
      <w:r w:rsidRPr="006B025A">
        <w:rPr>
          <w:rFonts w:ascii="Times New Roman" w:hAnsi="Times New Roman" w:cs="Times New Roman"/>
          <w:b/>
          <w:bCs/>
          <w:sz w:val="24"/>
          <w:szCs w:val="24"/>
        </w:rPr>
        <w:t>Sites de la FFB / CAPEB / Pro BTP / outils « minima sociaux »</w:t>
      </w:r>
      <w:r w:rsidRPr="006B025A">
        <w:rPr>
          <w:rFonts w:ascii="Times New Roman" w:hAnsi="Times New Roman" w:cs="Times New Roman"/>
          <w:sz w:val="24"/>
          <w:szCs w:val="24"/>
        </w:rPr>
        <w:t xml:space="preserve"> : synthèses actualisées des grilles par région. </w:t>
      </w:r>
      <w:hyperlink r:id="rId21" w:tgtFrame="_blank" w:history="1">
        <w:r w:rsidRPr="006B025A">
          <w:rPr>
            <w:rStyle w:val="Lienhypertexte"/>
            <w:rFonts w:ascii="Times New Roman" w:hAnsi="Times New Roman" w:cs="Times New Roman"/>
            <w:sz w:val="24"/>
            <w:szCs w:val="24"/>
          </w:rPr>
          <w:t>FF Bâtiment</w:t>
        </w:r>
      </w:hyperlink>
    </w:p>
    <w:p w14:paraId="55E7801D" w14:textId="77777777" w:rsidR="006B025A" w:rsidRPr="006B025A" w:rsidRDefault="006B025A" w:rsidP="006B025A">
      <w:pPr>
        <w:numPr>
          <w:ilvl w:val="0"/>
          <w:numId w:val="9"/>
        </w:numPr>
        <w:rPr>
          <w:rFonts w:ascii="Times New Roman" w:hAnsi="Times New Roman" w:cs="Times New Roman"/>
          <w:sz w:val="24"/>
          <w:szCs w:val="24"/>
        </w:rPr>
      </w:pPr>
      <w:r w:rsidRPr="006B025A">
        <w:rPr>
          <w:rFonts w:ascii="Times New Roman" w:hAnsi="Times New Roman" w:cs="Times New Roman"/>
          <w:b/>
          <w:bCs/>
          <w:sz w:val="24"/>
          <w:szCs w:val="24"/>
        </w:rPr>
        <w:t>Services RH / représentation</w:t>
      </w:r>
      <w:r w:rsidRPr="006B025A">
        <w:rPr>
          <w:rFonts w:ascii="Times New Roman" w:hAnsi="Times New Roman" w:cs="Times New Roman"/>
          <w:sz w:val="24"/>
          <w:szCs w:val="24"/>
        </w:rPr>
        <w:t xml:space="preserve"> : pour une application dans une entreprise précise, vérifier l’éventuelle adhésion patronale aux fédérations signataires et l’existence d’accords d’entreprise plus favorables.</w:t>
      </w:r>
    </w:p>
    <w:p w14:paraId="2D2ACE66" w14:textId="77777777" w:rsidR="006B025A" w:rsidRPr="006B025A" w:rsidRDefault="006B025A" w:rsidP="006B025A">
      <w:pPr>
        <w:rPr>
          <w:rFonts w:ascii="Times New Roman" w:hAnsi="Times New Roman" w:cs="Times New Roman"/>
          <w:sz w:val="24"/>
          <w:szCs w:val="24"/>
        </w:rPr>
      </w:pPr>
      <w:r w:rsidRPr="006B025A">
        <w:rPr>
          <w:rFonts w:ascii="Times New Roman" w:hAnsi="Times New Roman" w:cs="Times New Roman"/>
          <w:sz w:val="24"/>
          <w:szCs w:val="24"/>
        </w:rPr>
        <w:lastRenderedPageBreak/>
        <w:pict w14:anchorId="427321E1">
          <v:rect id="_x0000_i1063" style="width:0;height:1.5pt" o:hralign="center" o:hrstd="t" o:hr="t" fillcolor="#a0a0a0" stroked="f"/>
        </w:pict>
      </w:r>
    </w:p>
    <w:p w14:paraId="3518BDFA" w14:textId="6D5EB3C2" w:rsidR="006B025A" w:rsidRPr="006B025A" w:rsidRDefault="003240C4" w:rsidP="006B025A">
      <w:pPr>
        <w:rPr>
          <w:rFonts w:ascii="Times New Roman" w:hAnsi="Times New Roman" w:cs="Times New Roman"/>
          <w:sz w:val="24"/>
          <w:szCs w:val="24"/>
        </w:rPr>
      </w:pPr>
      <w:r w:rsidRPr="00804646">
        <w:rPr>
          <w:rFonts w:ascii="Times New Roman" w:hAnsi="Times New Roman" w:cs="Times New Roman"/>
          <w:sz w:val="24"/>
          <w:szCs w:val="24"/>
        </w:rPr>
        <w:t>A titre d’exemple : vous trouverez ci-après l</w:t>
      </w:r>
      <w:r w:rsidR="006B025A" w:rsidRPr="006B025A">
        <w:rPr>
          <w:rFonts w:ascii="Times New Roman" w:hAnsi="Times New Roman" w:cs="Times New Roman"/>
          <w:sz w:val="24"/>
          <w:szCs w:val="24"/>
        </w:rPr>
        <w:t xml:space="preserve">’arrêté d’extension (récapitulé + références officielles) pour les </w:t>
      </w:r>
      <w:r w:rsidR="006B025A" w:rsidRPr="006B025A">
        <w:rPr>
          <w:rFonts w:ascii="Times New Roman" w:hAnsi="Times New Roman" w:cs="Times New Roman"/>
          <w:b/>
          <w:bCs/>
          <w:sz w:val="24"/>
          <w:szCs w:val="24"/>
        </w:rPr>
        <w:t>Côtes-d’Armor</w:t>
      </w:r>
      <w:r w:rsidR="006B025A" w:rsidRPr="006B025A">
        <w:rPr>
          <w:rFonts w:ascii="Times New Roman" w:hAnsi="Times New Roman" w:cs="Times New Roman"/>
          <w:sz w:val="24"/>
          <w:szCs w:val="24"/>
        </w:rPr>
        <w:t xml:space="preserve">, ainsi que la </w:t>
      </w:r>
      <w:r w:rsidR="006B025A" w:rsidRPr="006B025A">
        <w:rPr>
          <w:rFonts w:ascii="Times New Roman" w:hAnsi="Times New Roman" w:cs="Times New Roman"/>
          <w:b/>
          <w:bCs/>
          <w:sz w:val="24"/>
          <w:szCs w:val="24"/>
        </w:rPr>
        <w:t>grille des salaires ETAM</w:t>
      </w:r>
      <w:r w:rsidR="006B025A" w:rsidRPr="006B025A">
        <w:rPr>
          <w:rFonts w:ascii="Times New Roman" w:hAnsi="Times New Roman" w:cs="Times New Roman"/>
          <w:sz w:val="24"/>
          <w:szCs w:val="24"/>
        </w:rPr>
        <w:t xml:space="preserve"> applicable en Bretagne (donc aux Côtes-d’Armor) et la référence de l’article de la CCN qui décrit la </w:t>
      </w:r>
      <w:r w:rsidR="006B025A" w:rsidRPr="006B025A">
        <w:rPr>
          <w:rFonts w:ascii="Times New Roman" w:hAnsi="Times New Roman" w:cs="Times New Roman"/>
          <w:b/>
          <w:bCs/>
          <w:sz w:val="24"/>
          <w:szCs w:val="24"/>
        </w:rPr>
        <w:t>classification</w:t>
      </w:r>
      <w:r w:rsidR="006B025A" w:rsidRPr="006B025A">
        <w:rPr>
          <w:rFonts w:ascii="Times New Roman" w:hAnsi="Times New Roman" w:cs="Times New Roman"/>
          <w:sz w:val="24"/>
          <w:szCs w:val="24"/>
        </w:rPr>
        <w:t xml:space="preserve"> des ETAM.</w:t>
      </w:r>
    </w:p>
    <w:p w14:paraId="113CED4D" w14:textId="77777777" w:rsidR="006B025A" w:rsidRPr="006B025A" w:rsidRDefault="006B025A" w:rsidP="006B025A">
      <w:pPr>
        <w:rPr>
          <w:rFonts w:ascii="Times New Roman" w:hAnsi="Times New Roman" w:cs="Times New Roman"/>
          <w:b/>
          <w:bCs/>
          <w:sz w:val="24"/>
          <w:szCs w:val="24"/>
        </w:rPr>
      </w:pPr>
      <w:r w:rsidRPr="006B025A">
        <w:rPr>
          <w:rFonts w:ascii="Times New Roman" w:hAnsi="Times New Roman" w:cs="Times New Roman"/>
          <w:b/>
          <w:bCs/>
          <w:sz w:val="24"/>
          <w:szCs w:val="24"/>
        </w:rPr>
        <w:t>1) Arrêté d’extension — référence et portée</w:t>
      </w:r>
    </w:p>
    <w:p w14:paraId="69684F67" w14:textId="77777777" w:rsidR="006B025A" w:rsidRPr="006B025A" w:rsidRDefault="006B025A" w:rsidP="006B025A">
      <w:pPr>
        <w:numPr>
          <w:ilvl w:val="0"/>
          <w:numId w:val="11"/>
        </w:numPr>
        <w:rPr>
          <w:rFonts w:ascii="Times New Roman" w:hAnsi="Times New Roman" w:cs="Times New Roman"/>
          <w:sz w:val="24"/>
          <w:szCs w:val="24"/>
        </w:rPr>
      </w:pPr>
      <w:r w:rsidRPr="006B025A">
        <w:rPr>
          <w:rFonts w:ascii="Times New Roman" w:hAnsi="Times New Roman" w:cs="Times New Roman"/>
          <w:b/>
          <w:bCs/>
          <w:sz w:val="24"/>
          <w:szCs w:val="24"/>
        </w:rPr>
        <w:t>Titre :</w:t>
      </w:r>
      <w:r w:rsidRPr="006B025A">
        <w:rPr>
          <w:rFonts w:ascii="Times New Roman" w:hAnsi="Times New Roman" w:cs="Times New Roman"/>
          <w:sz w:val="24"/>
          <w:szCs w:val="24"/>
        </w:rPr>
        <w:t xml:space="preserve"> </w:t>
      </w:r>
      <w:r w:rsidRPr="006B025A">
        <w:rPr>
          <w:rFonts w:ascii="Times New Roman" w:hAnsi="Times New Roman" w:cs="Times New Roman"/>
          <w:i/>
          <w:iCs/>
          <w:sz w:val="24"/>
          <w:szCs w:val="24"/>
        </w:rPr>
        <w:t>Arrêté du 6 février 2025 portant extension d’accords régionaux (Bretagne) conclus dans le cadre des conventions collectives nationales des ouvriers, employés, techniciens et agents de maîtrise du bâtiment</w:t>
      </w:r>
      <w:r w:rsidRPr="006B025A">
        <w:rPr>
          <w:rFonts w:ascii="Times New Roman" w:hAnsi="Times New Roman" w:cs="Times New Roman"/>
          <w:sz w:val="24"/>
          <w:szCs w:val="24"/>
        </w:rPr>
        <w:t>.</w:t>
      </w:r>
    </w:p>
    <w:p w14:paraId="61BB179B" w14:textId="77777777" w:rsidR="006B025A" w:rsidRPr="006B025A" w:rsidRDefault="006B025A" w:rsidP="006B025A">
      <w:pPr>
        <w:numPr>
          <w:ilvl w:val="0"/>
          <w:numId w:val="11"/>
        </w:numPr>
        <w:rPr>
          <w:rFonts w:ascii="Times New Roman" w:hAnsi="Times New Roman" w:cs="Times New Roman"/>
          <w:sz w:val="24"/>
          <w:szCs w:val="24"/>
        </w:rPr>
      </w:pPr>
      <w:r w:rsidRPr="006B025A">
        <w:rPr>
          <w:rFonts w:ascii="Times New Roman" w:hAnsi="Times New Roman" w:cs="Times New Roman"/>
          <w:b/>
          <w:bCs/>
          <w:sz w:val="24"/>
          <w:szCs w:val="24"/>
        </w:rPr>
        <w:t>Publication au JORF :</w:t>
      </w:r>
      <w:r w:rsidRPr="006B025A">
        <w:rPr>
          <w:rFonts w:ascii="Times New Roman" w:hAnsi="Times New Roman" w:cs="Times New Roman"/>
          <w:sz w:val="24"/>
          <w:szCs w:val="24"/>
        </w:rPr>
        <w:t xml:space="preserve"> publié au Journal officiel (JO) — parution 14 février 2025 (arrêté du 6/02/2025).</w:t>
      </w:r>
    </w:p>
    <w:p w14:paraId="61857271" w14:textId="77777777" w:rsidR="006B025A" w:rsidRPr="006B025A" w:rsidRDefault="006B025A" w:rsidP="006B025A">
      <w:pPr>
        <w:numPr>
          <w:ilvl w:val="0"/>
          <w:numId w:val="11"/>
        </w:numPr>
        <w:rPr>
          <w:rFonts w:ascii="Times New Roman" w:hAnsi="Times New Roman" w:cs="Times New Roman"/>
          <w:sz w:val="24"/>
          <w:szCs w:val="24"/>
        </w:rPr>
      </w:pPr>
      <w:r w:rsidRPr="006B025A">
        <w:rPr>
          <w:rFonts w:ascii="Times New Roman" w:hAnsi="Times New Roman" w:cs="Times New Roman"/>
          <w:b/>
          <w:bCs/>
          <w:sz w:val="24"/>
          <w:szCs w:val="24"/>
        </w:rPr>
        <w:t>Portée géographique :</w:t>
      </w:r>
      <w:r w:rsidRPr="006B025A">
        <w:rPr>
          <w:rFonts w:ascii="Times New Roman" w:hAnsi="Times New Roman" w:cs="Times New Roman"/>
          <w:sz w:val="24"/>
          <w:szCs w:val="24"/>
        </w:rPr>
        <w:t xml:space="preserve"> l’arrêté étend l’accord régional Bretagne aux départements </w:t>
      </w:r>
      <w:r w:rsidRPr="006B025A">
        <w:rPr>
          <w:rFonts w:ascii="Times New Roman" w:hAnsi="Times New Roman" w:cs="Times New Roman"/>
          <w:b/>
          <w:bCs/>
          <w:sz w:val="24"/>
          <w:szCs w:val="24"/>
        </w:rPr>
        <w:t>Côtes-d’Armor, Finistère, Ille-et-Vilaine, Morbihan</w:t>
      </w:r>
      <w:r w:rsidRPr="006B025A">
        <w:rPr>
          <w:rFonts w:ascii="Times New Roman" w:hAnsi="Times New Roman" w:cs="Times New Roman"/>
          <w:sz w:val="24"/>
          <w:szCs w:val="24"/>
        </w:rPr>
        <w:t xml:space="preserve">. Autrement dit, les dispositions salariales prévues par l’accord régional Bretagne deviennent obligatoires pour </w:t>
      </w:r>
      <w:r w:rsidRPr="006B025A">
        <w:rPr>
          <w:rFonts w:ascii="Times New Roman" w:hAnsi="Times New Roman" w:cs="Times New Roman"/>
          <w:b/>
          <w:bCs/>
          <w:sz w:val="24"/>
          <w:szCs w:val="24"/>
        </w:rPr>
        <w:t>toutes</w:t>
      </w:r>
      <w:r w:rsidRPr="006B025A">
        <w:rPr>
          <w:rFonts w:ascii="Times New Roman" w:hAnsi="Times New Roman" w:cs="Times New Roman"/>
          <w:sz w:val="24"/>
          <w:szCs w:val="24"/>
        </w:rPr>
        <w:t xml:space="preserve"> les entreprises relevant du champ de la CCN dans les Côtes-d’Armor. </w:t>
      </w:r>
      <w:hyperlink r:id="rId22" w:tgtFrame="_blank" w:history="1">
        <w:r w:rsidRPr="006B025A">
          <w:rPr>
            <w:rStyle w:val="Lienhypertexte"/>
            <w:rFonts w:ascii="Times New Roman" w:hAnsi="Times New Roman" w:cs="Times New Roman"/>
            <w:sz w:val="24"/>
            <w:szCs w:val="24"/>
          </w:rPr>
          <w:t>Légifrance+1</w:t>
        </w:r>
      </w:hyperlink>
    </w:p>
    <w:p w14:paraId="21FC8265" w14:textId="77777777" w:rsidR="006B025A" w:rsidRPr="006B025A" w:rsidRDefault="006B025A" w:rsidP="006B025A">
      <w:pPr>
        <w:rPr>
          <w:rFonts w:ascii="Times New Roman" w:hAnsi="Times New Roman" w:cs="Times New Roman"/>
          <w:sz w:val="24"/>
          <w:szCs w:val="24"/>
        </w:rPr>
      </w:pPr>
      <w:r w:rsidRPr="006B025A">
        <w:rPr>
          <w:rFonts w:ascii="Times New Roman" w:hAnsi="Times New Roman" w:cs="Times New Roman"/>
          <w:sz w:val="24"/>
          <w:szCs w:val="24"/>
        </w:rPr>
        <w:t xml:space="preserve">Si vous voulez consulter le texte officiel (JORF / Legifrance) : la fiche et l’arrêté se trouvent sur Légifrance (référence JORFTEXT000051164121). </w:t>
      </w:r>
      <w:hyperlink r:id="rId23" w:tgtFrame="_blank" w:history="1">
        <w:r w:rsidRPr="006B025A">
          <w:rPr>
            <w:rStyle w:val="Lienhypertexte"/>
            <w:rFonts w:ascii="Times New Roman" w:hAnsi="Times New Roman" w:cs="Times New Roman"/>
            <w:sz w:val="24"/>
            <w:szCs w:val="24"/>
          </w:rPr>
          <w:t>Légifrance</w:t>
        </w:r>
      </w:hyperlink>
    </w:p>
    <w:p w14:paraId="6F23328F" w14:textId="77777777" w:rsidR="006B025A" w:rsidRPr="006B025A" w:rsidRDefault="006B025A" w:rsidP="006B025A">
      <w:pPr>
        <w:rPr>
          <w:rFonts w:ascii="Times New Roman" w:hAnsi="Times New Roman" w:cs="Times New Roman"/>
          <w:b/>
          <w:bCs/>
          <w:sz w:val="24"/>
          <w:szCs w:val="24"/>
        </w:rPr>
      </w:pPr>
      <w:r w:rsidRPr="006B025A">
        <w:rPr>
          <w:rFonts w:ascii="Times New Roman" w:hAnsi="Times New Roman" w:cs="Times New Roman"/>
          <w:b/>
          <w:bCs/>
          <w:sz w:val="24"/>
          <w:szCs w:val="24"/>
        </w:rPr>
        <w:t>2) Le texte conventionnel régional (Accord Bretagne) — date et applicabilité</w:t>
      </w:r>
    </w:p>
    <w:p w14:paraId="345777EF" w14:textId="77777777" w:rsidR="006B025A" w:rsidRPr="006B025A" w:rsidRDefault="006B025A" w:rsidP="006B025A">
      <w:pPr>
        <w:numPr>
          <w:ilvl w:val="0"/>
          <w:numId w:val="12"/>
        </w:numPr>
        <w:rPr>
          <w:rFonts w:ascii="Times New Roman" w:hAnsi="Times New Roman" w:cs="Times New Roman"/>
          <w:sz w:val="24"/>
          <w:szCs w:val="24"/>
        </w:rPr>
      </w:pPr>
      <w:r w:rsidRPr="006B025A">
        <w:rPr>
          <w:rFonts w:ascii="Times New Roman" w:hAnsi="Times New Roman" w:cs="Times New Roman"/>
          <w:b/>
          <w:bCs/>
          <w:sz w:val="24"/>
          <w:szCs w:val="24"/>
        </w:rPr>
        <w:t>Accord régional :</w:t>
      </w:r>
      <w:r w:rsidRPr="006B025A">
        <w:rPr>
          <w:rFonts w:ascii="Times New Roman" w:hAnsi="Times New Roman" w:cs="Times New Roman"/>
          <w:sz w:val="24"/>
          <w:szCs w:val="24"/>
        </w:rPr>
        <w:t xml:space="preserve"> </w:t>
      </w:r>
      <w:r w:rsidRPr="006B025A">
        <w:rPr>
          <w:rFonts w:ascii="Times New Roman" w:hAnsi="Times New Roman" w:cs="Times New Roman"/>
          <w:i/>
          <w:iCs/>
          <w:sz w:val="24"/>
          <w:szCs w:val="24"/>
        </w:rPr>
        <w:t>Accord du 3 décembre 2024 relatif aux salaires au 1er janvier 2025</w:t>
      </w:r>
      <w:r w:rsidRPr="006B025A">
        <w:rPr>
          <w:rFonts w:ascii="Times New Roman" w:hAnsi="Times New Roman" w:cs="Times New Roman"/>
          <w:sz w:val="24"/>
          <w:szCs w:val="24"/>
        </w:rPr>
        <w:t xml:space="preserve"> (rattachement à la CCN ETAM, IDCC 2609).</w:t>
      </w:r>
    </w:p>
    <w:p w14:paraId="1AA0D987" w14:textId="77777777" w:rsidR="006B025A" w:rsidRPr="006B025A" w:rsidRDefault="006B025A" w:rsidP="006B025A">
      <w:pPr>
        <w:numPr>
          <w:ilvl w:val="0"/>
          <w:numId w:val="12"/>
        </w:numPr>
        <w:rPr>
          <w:rFonts w:ascii="Times New Roman" w:hAnsi="Times New Roman" w:cs="Times New Roman"/>
          <w:sz w:val="24"/>
          <w:szCs w:val="24"/>
        </w:rPr>
      </w:pPr>
      <w:r w:rsidRPr="006B025A">
        <w:rPr>
          <w:rFonts w:ascii="Times New Roman" w:hAnsi="Times New Roman" w:cs="Times New Roman"/>
          <w:b/>
          <w:bCs/>
          <w:sz w:val="24"/>
          <w:szCs w:val="24"/>
        </w:rPr>
        <w:t>Entrée en vigueur des minima :</w:t>
      </w:r>
      <w:r w:rsidRPr="006B025A">
        <w:rPr>
          <w:rFonts w:ascii="Times New Roman" w:hAnsi="Times New Roman" w:cs="Times New Roman"/>
          <w:sz w:val="24"/>
          <w:szCs w:val="24"/>
        </w:rPr>
        <w:t xml:space="preserve"> applicables </w:t>
      </w:r>
      <w:r w:rsidRPr="006B025A">
        <w:rPr>
          <w:rFonts w:ascii="Times New Roman" w:hAnsi="Times New Roman" w:cs="Times New Roman"/>
          <w:b/>
          <w:bCs/>
          <w:sz w:val="24"/>
          <w:szCs w:val="24"/>
        </w:rPr>
        <w:t>à compter du 1er janvier 2025</w:t>
      </w:r>
      <w:r w:rsidRPr="006B025A">
        <w:rPr>
          <w:rFonts w:ascii="Times New Roman" w:hAnsi="Times New Roman" w:cs="Times New Roman"/>
          <w:sz w:val="24"/>
          <w:szCs w:val="24"/>
        </w:rPr>
        <w:t xml:space="preserve"> ; cet accord a été étendu par l’arrêté du 6/02/2025 cité ci-dessus. </w:t>
      </w:r>
      <w:hyperlink r:id="rId24" w:tgtFrame="_blank" w:history="1">
        <w:r w:rsidRPr="006B025A">
          <w:rPr>
            <w:rStyle w:val="Lienhypertexte"/>
            <w:rFonts w:ascii="Times New Roman" w:hAnsi="Times New Roman" w:cs="Times New Roman"/>
            <w:sz w:val="24"/>
            <w:szCs w:val="24"/>
          </w:rPr>
          <w:t>Légifrance+1</w:t>
        </w:r>
      </w:hyperlink>
    </w:p>
    <w:p w14:paraId="27C5D162" w14:textId="77777777" w:rsidR="006B025A" w:rsidRPr="006B025A" w:rsidRDefault="006B025A" w:rsidP="006B025A">
      <w:pPr>
        <w:rPr>
          <w:rFonts w:ascii="Times New Roman" w:hAnsi="Times New Roman" w:cs="Times New Roman"/>
          <w:b/>
          <w:bCs/>
          <w:sz w:val="24"/>
          <w:szCs w:val="24"/>
        </w:rPr>
      </w:pPr>
      <w:r w:rsidRPr="006B025A">
        <w:rPr>
          <w:rFonts w:ascii="Times New Roman" w:hAnsi="Times New Roman" w:cs="Times New Roman"/>
          <w:b/>
          <w:bCs/>
          <w:sz w:val="24"/>
          <w:szCs w:val="24"/>
        </w:rPr>
        <w:t>3) Grille des salaires — Bretagne (applicable dans les Côtes-d’Armor) — au 1er janvier 2025</w:t>
      </w:r>
    </w:p>
    <w:p w14:paraId="6AFE5F10" w14:textId="77777777" w:rsidR="006B025A" w:rsidRPr="006B025A" w:rsidRDefault="006B025A" w:rsidP="006B025A">
      <w:pPr>
        <w:rPr>
          <w:rFonts w:ascii="Times New Roman" w:hAnsi="Times New Roman" w:cs="Times New Roman"/>
          <w:sz w:val="24"/>
          <w:szCs w:val="24"/>
        </w:rPr>
      </w:pPr>
      <w:r w:rsidRPr="006B025A">
        <w:rPr>
          <w:rFonts w:ascii="Times New Roman" w:hAnsi="Times New Roman" w:cs="Times New Roman"/>
          <w:sz w:val="24"/>
          <w:szCs w:val="24"/>
        </w:rPr>
        <w:t xml:space="preserve">(heures : </w:t>
      </w:r>
      <w:r w:rsidRPr="006B025A">
        <w:rPr>
          <w:rFonts w:ascii="Times New Roman" w:hAnsi="Times New Roman" w:cs="Times New Roman"/>
          <w:b/>
          <w:bCs/>
          <w:sz w:val="24"/>
          <w:szCs w:val="24"/>
        </w:rPr>
        <w:t>35 h</w:t>
      </w:r>
      <w:r w:rsidRPr="006B025A">
        <w:rPr>
          <w:rFonts w:ascii="Times New Roman" w:hAnsi="Times New Roman" w:cs="Times New Roman"/>
          <w:sz w:val="24"/>
          <w:szCs w:val="24"/>
        </w:rPr>
        <w:t xml:space="preserve"> hebdo, temps plein — montants en </w:t>
      </w:r>
      <w:r w:rsidRPr="006B025A">
        <w:rPr>
          <w:rFonts w:ascii="Times New Roman" w:hAnsi="Times New Roman" w:cs="Times New Roman"/>
          <w:b/>
          <w:bCs/>
          <w:sz w:val="24"/>
          <w:szCs w:val="24"/>
        </w:rPr>
        <w:t>€ brut / mois</w:t>
      </w:r>
      <w:r w:rsidRPr="006B025A">
        <w:rPr>
          <w:rFonts w:ascii="Times New Roman" w:hAnsi="Times New Roman" w:cs="Times New Roman"/>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5"/>
        <w:gridCol w:w="7455"/>
      </w:tblGrid>
      <w:tr w:rsidR="006B025A" w:rsidRPr="006B025A" w14:paraId="1151D26F" w14:textId="77777777">
        <w:trPr>
          <w:tblHeader/>
          <w:tblCellSpacing w:w="15" w:type="dxa"/>
        </w:trPr>
        <w:tc>
          <w:tcPr>
            <w:tcW w:w="0" w:type="auto"/>
            <w:vAlign w:val="center"/>
            <w:hideMark/>
          </w:tcPr>
          <w:p w14:paraId="3779A65A" w14:textId="77777777" w:rsidR="006B025A" w:rsidRPr="006B025A" w:rsidRDefault="006B025A" w:rsidP="006B025A">
            <w:pPr>
              <w:rPr>
                <w:rFonts w:ascii="Times New Roman" w:hAnsi="Times New Roman" w:cs="Times New Roman"/>
                <w:b/>
                <w:bCs/>
                <w:sz w:val="24"/>
                <w:szCs w:val="24"/>
              </w:rPr>
            </w:pPr>
            <w:r w:rsidRPr="006B025A">
              <w:rPr>
                <w:rFonts w:ascii="Times New Roman" w:hAnsi="Times New Roman" w:cs="Times New Roman"/>
                <w:b/>
                <w:bCs/>
                <w:sz w:val="24"/>
                <w:szCs w:val="24"/>
              </w:rPr>
              <w:t>Niveau</w:t>
            </w:r>
          </w:p>
        </w:tc>
        <w:tc>
          <w:tcPr>
            <w:tcW w:w="0" w:type="auto"/>
            <w:vAlign w:val="center"/>
            <w:hideMark/>
          </w:tcPr>
          <w:p w14:paraId="50EF8F1B" w14:textId="77777777" w:rsidR="006B025A" w:rsidRPr="006B025A" w:rsidRDefault="006B025A" w:rsidP="006B025A">
            <w:pPr>
              <w:rPr>
                <w:rFonts w:ascii="Times New Roman" w:hAnsi="Times New Roman" w:cs="Times New Roman"/>
                <w:b/>
                <w:bCs/>
                <w:sz w:val="24"/>
                <w:szCs w:val="24"/>
              </w:rPr>
            </w:pPr>
            <w:r w:rsidRPr="006B025A">
              <w:rPr>
                <w:rFonts w:ascii="Times New Roman" w:hAnsi="Times New Roman" w:cs="Times New Roman"/>
                <w:b/>
                <w:bCs/>
                <w:sz w:val="24"/>
                <w:szCs w:val="24"/>
              </w:rPr>
              <w:t>Salaire mensuel brut (Bretagne — 01/01/2025)</w:t>
            </w:r>
          </w:p>
        </w:tc>
      </w:tr>
      <w:tr w:rsidR="006B025A" w:rsidRPr="006B025A" w14:paraId="651C2603"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B0294B7"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A</w:t>
            </w:r>
          </w:p>
        </w:tc>
        <w:tc>
          <w:tcPr>
            <w:tcW w:w="0" w:type="auto"/>
            <w:tcBorders>
              <w:top w:val="single" w:sz="4" w:space="0" w:color="auto"/>
              <w:left w:val="single" w:sz="4" w:space="0" w:color="auto"/>
              <w:bottom w:val="single" w:sz="4" w:space="0" w:color="auto"/>
              <w:right w:val="single" w:sz="4" w:space="0" w:color="auto"/>
            </w:tcBorders>
            <w:vAlign w:val="center"/>
            <w:hideMark/>
          </w:tcPr>
          <w:p w14:paraId="7D0FE048"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1 839 €</w:t>
            </w:r>
          </w:p>
        </w:tc>
      </w:tr>
      <w:tr w:rsidR="006B025A" w:rsidRPr="006B025A" w14:paraId="39A22D87"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03EB24AC"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6EEA9D51"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1 924 €</w:t>
            </w:r>
          </w:p>
        </w:tc>
      </w:tr>
      <w:tr w:rsidR="006B025A" w:rsidRPr="006B025A" w14:paraId="13C30F12"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DB96CB0"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6D8B4AD7"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2 035 €</w:t>
            </w:r>
          </w:p>
        </w:tc>
      </w:tr>
      <w:tr w:rsidR="006B025A" w:rsidRPr="006B025A" w14:paraId="0836E29F"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D25EDD8"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D</w:t>
            </w:r>
          </w:p>
        </w:tc>
        <w:tc>
          <w:tcPr>
            <w:tcW w:w="0" w:type="auto"/>
            <w:tcBorders>
              <w:top w:val="single" w:sz="4" w:space="0" w:color="auto"/>
              <w:left w:val="single" w:sz="4" w:space="0" w:color="auto"/>
              <w:bottom w:val="single" w:sz="4" w:space="0" w:color="auto"/>
              <w:right w:val="single" w:sz="4" w:space="0" w:color="auto"/>
            </w:tcBorders>
            <w:vAlign w:val="center"/>
            <w:hideMark/>
          </w:tcPr>
          <w:p w14:paraId="73225C2B"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2 169 €</w:t>
            </w:r>
          </w:p>
        </w:tc>
      </w:tr>
      <w:tr w:rsidR="006B025A" w:rsidRPr="006B025A" w14:paraId="56CFDF96"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CA0B11F"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E</w:t>
            </w:r>
          </w:p>
        </w:tc>
        <w:tc>
          <w:tcPr>
            <w:tcW w:w="0" w:type="auto"/>
            <w:tcBorders>
              <w:top w:val="single" w:sz="4" w:space="0" w:color="auto"/>
              <w:left w:val="single" w:sz="4" w:space="0" w:color="auto"/>
              <w:bottom w:val="single" w:sz="4" w:space="0" w:color="auto"/>
              <w:right w:val="single" w:sz="4" w:space="0" w:color="auto"/>
            </w:tcBorders>
            <w:vAlign w:val="center"/>
            <w:hideMark/>
          </w:tcPr>
          <w:p w14:paraId="7BB7D769"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2 345 €</w:t>
            </w:r>
          </w:p>
        </w:tc>
      </w:tr>
      <w:tr w:rsidR="006B025A" w:rsidRPr="006B025A" w14:paraId="6BE5D888"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FC174D9"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F</w:t>
            </w:r>
          </w:p>
        </w:tc>
        <w:tc>
          <w:tcPr>
            <w:tcW w:w="0" w:type="auto"/>
            <w:tcBorders>
              <w:top w:val="single" w:sz="4" w:space="0" w:color="auto"/>
              <w:left w:val="single" w:sz="4" w:space="0" w:color="auto"/>
              <w:bottom w:val="single" w:sz="4" w:space="0" w:color="auto"/>
              <w:right w:val="single" w:sz="4" w:space="0" w:color="auto"/>
            </w:tcBorders>
            <w:vAlign w:val="center"/>
            <w:hideMark/>
          </w:tcPr>
          <w:p w14:paraId="3BACB699"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2 672 €</w:t>
            </w:r>
          </w:p>
        </w:tc>
      </w:tr>
      <w:tr w:rsidR="006B025A" w:rsidRPr="006B025A" w14:paraId="7DAAF3A6"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BB0C826"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77FB45A0"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2 980 €</w:t>
            </w:r>
          </w:p>
        </w:tc>
      </w:tr>
      <w:tr w:rsidR="006B025A" w:rsidRPr="006B025A" w14:paraId="0DB05DEE" w14:textId="77777777" w:rsidTr="003240C4">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2521022"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lastRenderedPageBreak/>
              <w:t>H</w:t>
            </w:r>
          </w:p>
        </w:tc>
        <w:tc>
          <w:tcPr>
            <w:tcW w:w="0" w:type="auto"/>
            <w:tcBorders>
              <w:top w:val="single" w:sz="4" w:space="0" w:color="auto"/>
              <w:left w:val="single" w:sz="4" w:space="0" w:color="auto"/>
              <w:bottom w:val="single" w:sz="4" w:space="0" w:color="auto"/>
              <w:right w:val="single" w:sz="4" w:space="0" w:color="auto"/>
            </w:tcBorders>
            <w:vAlign w:val="center"/>
            <w:hideMark/>
          </w:tcPr>
          <w:p w14:paraId="4141A053" w14:textId="77777777" w:rsidR="006B025A" w:rsidRPr="006B025A" w:rsidRDefault="006B025A" w:rsidP="003240C4">
            <w:pPr>
              <w:jc w:val="center"/>
              <w:rPr>
                <w:rFonts w:ascii="Times New Roman" w:hAnsi="Times New Roman" w:cs="Times New Roman"/>
                <w:sz w:val="24"/>
                <w:szCs w:val="24"/>
              </w:rPr>
            </w:pPr>
            <w:r w:rsidRPr="006B025A">
              <w:rPr>
                <w:rFonts w:ascii="Times New Roman" w:hAnsi="Times New Roman" w:cs="Times New Roman"/>
                <w:sz w:val="24"/>
                <w:szCs w:val="24"/>
              </w:rPr>
              <w:t>(non chiffré dans le tableau résumé ci-dessus / habituellement supérieur à G)</w:t>
            </w:r>
          </w:p>
        </w:tc>
      </w:tr>
    </w:tbl>
    <w:p w14:paraId="625BEA93" w14:textId="77777777" w:rsidR="003240C4" w:rsidRPr="00804646" w:rsidRDefault="003240C4" w:rsidP="006B025A">
      <w:pPr>
        <w:rPr>
          <w:rFonts w:ascii="Times New Roman" w:hAnsi="Times New Roman" w:cs="Times New Roman"/>
          <w:sz w:val="24"/>
          <w:szCs w:val="24"/>
        </w:rPr>
      </w:pPr>
    </w:p>
    <w:p w14:paraId="3BB98AD2" w14:textId="0FAC5C41" w:rsidR="006B025A" w:rsidRPr="006B025A" w:rsidRDefault="006B025A" w:rsidP="006B025A">
      <w:pPr>
        <w:rPr>
          <w:rFonts w:ascii="Times New Roman" w:hAnsi="Times New Roman" w:cs="Times New Roman"/>
          <w:sz w:val="24"/>
          <w:szCs w:val="24"/>
        </w:rPr>
      </w:pPr>
      <w:r w:rsidRPr="006B025A">
        <w:rPr>
          <w:rFonts w:ascii="Times New Roman" w:hAnsi="Times New Roman" w:cs="Times New Roman"/>
          <w:sz w:val="24"/>
          <w:szCs w:val="24"/>
        </w:rPr>
        <w:t>Les montants ci-dessus proviennent de l’</w:t>
      </w:r>
      <w:r w:rsidRPr="006B025A">
        <w:rPr>
          <w:rFonts w:ascii="Times New Roman" w:hAnsi="Times New Roman" w:cs="Times New Roman"/>
          <w:b/>
          <w:bCs/>
          <w:sz w:val="24"/>
          <w:szCs w:val="24"/>
        </w:rPr>
        <w:t>accord régional Bretagne (3 déc. 2024)</w:t>
      </w:r>
      <w:r w:rsidRPr="006B025A">
        <w:rPr>
          <w:rFonts w:ascii="Times New Roman" w:hAnsi="Times New Roman" w:cs="Times New Roman"/>
          <w:sz w:val="24"/>
          <w:szCs w:val="24"/>
        </w:rPr>
        <w:t xml:space="preserve"> tel qu’il figure en texte publié / PDF de l’accord et récapitulés par des sources juridiques (ex. Predictice / Juristique / document PDF de l’accord). Ces minima sont devenus obligatoires dans les Côtes-d’Armor après l’arrêté d’extension du 6/02/2025. </w:t>
      </w:r>
      <w:hyperlink r:id="rId25" w:tgtFrame="_blank" w:history="1">
        <w:r w:rsidRPr="006B025A">
          <w:rPr>
            <w:rStyle w:val="Lienhypertexte"/>
            <w:rFonts w:ascii="Times New Roman" w:hAnsi="Times New Roman" w:cs="Times New Roman"/>
            <w:sz w:val="24"/>
            <w:szCs w:val="24"/>
          </w:rPr>
          <w:t>Presse Tripalio+1</w:t>
        </w:r>
      </w:hyperlink>
    </w:p>
    <w:p w14:paraId="580F7793" w14:textId="7B42F5BF" w:rsidR="006B025A" w:rsidRPr="006B025A" w:rsidRDefault="006B025A" w:rsidP="006B025A">
      <w:pPr>
        <w:rPr>
          <w:rFonts w:ascii="Times New Roman" w:hAnsi="Times New Roman" w:cs="Times New Roman"/>
          <w:sz w:val="24"/>
          <w:szCs w:val="24"/>
        </w:rPr>
      </w:pPr>
      <w:r w:rsidRPr="006B025A">
        <w:rPr>
          <w:rFonts w:ascii="Times New Roman" w:hAnsi="Times New Roman" w:cs="Times New Roman"/>
          <w:sz w:val="24"/>
          <w:szCs w:val="24"/>
        </w:rPr>
        <w:t xml:space="preserve">Remarque : certains documents publient aussi le niveau H (plus élevé) ou donnent des montants annuels </w:t>
      </w:r>
    </w:p>
    <w:p w14:paraId="646B21B6" w14:textId="77777777" w:rsidR="006B025A" w:rsidRPr="006B025A" w:rsidRDefault="006B025A" w:rsidP="006B025A">
      <w:pPr>
        <w:rPr>
          <w:rFonts w:ascii="Times New Roman" w:hAnsi="Times New Roman" w:cs="Times New Roman"/>
          <w:b/>
          <w:bCs/>
          <w:sz w:val="24"/>
          <w:szCs w:val="24"/>
        </w:rPr>
      </w:pPr>
      <w:r w:rsidRPr="006B025A">
        <w:rPr>
          <w:rFonts w:ascii="Times New Roman" w:hAnsi="Times New Roman" w:cs="Times New Roman"/>
          <w:b/>
          <w:bCs/>
          <w:sz w:val="24"/>
          <w:szCs w:val="24"/>
        </w:rPr>
        <w:t>4) Article de la CCN qui décrit la classification (référence)</w:t>
      </w:r>
    </w:p>
    <w:p w14:paraId="7CF91EC0" w14:textId="77777777" w:rsidR="006B025A" w:rsidRPr="006B025A" w:rsidRDefault="006B025A" w:rsidP="006B025A">
      <w:pPr>
        <w:numPr>
          <w:ilvl w:val="0"/>
          <w:numId w:val="13"/>
        </w:numPr>
        <w:rPr>
          <w:rFonts w:ascii="Times New Roman" w:hAnsi="Times New Roman" w:cs="Times New Roman"/>
          <w:sz w:val="24"/>
          <w:szCs w:val="24"/>
        </w:rPr>
      </w:pPr>
      <w:r w:rsidRPr="006B025A">
        <w:rPr>
          <w:rFonts w:ascii="Times New Roman" w:hAnsi="Times New Roman" w:cs="Times New Roman"/>
          <w:sz w:val="24"/>
          <w:szCs w:val="24"/>
        </w:rPr>
        <w:t xml:space="preserve">La CCN </w:t>
      </w:r>
      <w:r w:rsidRPr="006B025A">
        <w:rPr>
          <w:rFonts w:ascii="Times New Roman" w:hAnsi="Times New Roman" w:cs="Times New Roman"/>
          <w:b/>
          <w:bCs/>
          <w:sz w:val="24"/>
          <w:szCs w:val="24"/>
        </w:rPr>
        <w:t>Bâtiment — ETAM (IDCC 2609)</w:t>
      </w:r>
      <w:r w:rsidRPr="006B025A">
        <w:rPr>
          <w:rFonts w:ascii="Times New Roman" w:hAnsi="Times New Roman" w:cs="Times New Roman"/>
          <w:sz w:val="24"/>
          <w:szCs w:val="24"/>
        </w:rPr>
        <w:t xml:space="preserve"> contient une </w:t>
      </w:r>
      <w:r w:rsidRPr="006B025A">
        <w:rPr>
          <w:rFonts w:ascii="Times New Roman" w:hAnsi="Times New Roman" w:cs="Times New Roman"/>
          <w:b/>
          <w:bCs/>
          <w:sz w:val="24"/>
          <w:szCs w:val="24"/>
        </w:rPr>
        <w:t>classification en 8 niveaux</w:t>
      </w:r>
      <w:r w:rsidRPr="006B025A">
        <w:rPr>
          <w:rFonts w:ascii="Times New Roman" w:hAnsi="Times New Roman" w:cs="Times New Roman"/>
          <w:sz w:val="24"/>
          <w:szCs w:val="24"/>
        </w:rPr>
        <w:t xml:space="preserve"> : la grille de classification / critères (autonomie, responsabilité, technicité, encadrement…) est formalisée dans les textes conventionnels (avenant national de 2007 et articles de la CCN). Voir notamment l’</w:t>
      </w:r>
      <w:r w:rsidRPr="006B025A">
        <w:rPr>
          <w:rFonts w:ascii="Times New Roman" w:hAnsi="Times New Roman" w:cs="Times New Roman"/>
          <w:b/>
          <w:bCs/>
          <w:sz w:val="24"/>
          <w:szCs w:val="24"/>
        </w:rPr>
        <w:t>avenant / article relatif à la classification</w:t>
      </w:r>
      <w:r w:rsidRPr="006B025A">
        <w:rPr>
          <w:rFonts w:ascii="Times New Roman" w:hAnsi="Times New Roman" w:cs="Times New Roman"/>
          <w:sz w:val="24"/>
          <w:szCs w:val="24"/>
        </w:rPr>
        <w:t xml:space="preserve"> (grille en 8 niveaux). </w:t>
      </w:r>
      <w:hyperlink r:id="rId26" w:tgtFrame="_blank" w:history="1">
        <w:r w:rsidRPr="006B025A">
          <w:rPr>
            <w:rStyle w:val="Lienhypertexte"/>
            <w:rFonts w:ascii="Times New Roman" w:hAnsi="Times New Roman" w:cs="Times New Roman"/>
            <w:sz w:val="24"/>
            <w:szCs w:val="24"/>
          </w:rPr>
          <w:t>Légifrance+1</w:t>
        </w:r>
      </w:hyperlink>
    </w:p>
    <w:p w14:paraId="1DF3FB66" w14:textId="77777777" w:rsidR="005F645E" w:rsidRPr="00804646" w:rsidRDefault="005F645E">
      <w:pPr>
        <w:rPr>
          <w:rFonts w:ascii="Times New Roman" w:hAnsi="Times New Roman" w:cs="Times New Roman"/>
          <w:sz w:val="24"/>
          <w:szCs w:val="24"/>
        </w:rPr>
      </w:pPr>
    </w:p>
    <w:sectPr w:rsidR="005F645E" w:rsidRPr="00804646">
      <w:headerReference w:type="even" r:id="rId27"/>
      <w:headerReference w:type="default" r:id="rId28"/>
      <w:footerReference w:type="even" r:id="rId29"/>
      <w:footerReference w:type="default" r:id="rId30"/>
      <w:headerReference w:type="first" r:id="rId31"/>
      <w:footerReference w:type="firs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A230F" w14:textId="77777777" w:rsidR="001109EC" w:rsidRDefault="001109EC" w:rsidP="00804646">
      <w:pPr>
        <w:spacing w:after="0" w:line="240" w:lineRule="auto"/>
      </w:pPr>
      <w:r>
        <w:separator/>
      </w:r>
    </w:p>
  </w:endnote>
  <w:endnote w:type="continuationSeparator" w:id="0">
    <w:p w14:paraId="1AFCC0FB" w14:textId="77777777" w:rsidR="001109EC" w:rsidRDefault="001109EC" w:rsidP="00804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B41CF" w14:textId="77777777" w:rsidR="00804646" w:rsidRDefault="0080464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0547205"/>
      <w:docPartObj>
        <w:docPartGallery w:val="Page Numbers (Bottom of Page)"/>
        <w:docPartUnique/>
      </w:docPartObj>
    </w:sdtPr>
    <w:sdtContent>
      <w:p w14:paraId="102F7AC7" w14:textId="123A8C2A" w:rsidR="00804646" w:rsidRDefault="00804646">
        <w:pPr>
          <w:pStyle w:val="Pieddepage"/>
          <w:jc w:val="center"/>
        </w:pPr>
        <w:r>
          <w:fldChar w:fldCharType="begin"/>
        </w:r>
        <w:r>
          <w:instrText>PAGE   \* MERGEFORMAT</w:instrText>
        </w:r>
        <w:r>
          <w:fldChar w:fldCharType="separate"/>
        </w:r>
        <w:r>
          <w:t>2</w:t>
        </w:r>
        <w:r>
          <w:fldChar w:fldCharType="end"/>
        </w:r>
      </w:p>
    </w:sdtContent>
  </w:sdt>
  <w:p w14:paraId="4441DBA4" w14:textId="77777777" w:rsidR="00804646" w:rsidRDefault="0080464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0295B" w14:textId="77777777" w:rsidR="00804646" w:rsidRDefault="0080464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4D3A4" w14:textId="77777777" w:rsidR="001109EC" w:rsidRDefault="001109EC" w:rsidP="00804646">
      <w:pPr>
        <w:spacing w:after="0" w:line="240" w:lineRule="auto"/>
      </w:pPr>
      <w:r>
        <w:separator/>
      </w:r>
    </w:p>
  </w:footnote>
  <w:footnote w:type="continuationSeparator" w:id="0">
    <w:p w14:paraId="2A3E842A" w14:textId="77777777" w:rsidR="001109EC" w:rsidRDefault="001109EC" w:rsidP="00804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D761A" w14:textId="77777777" w:rsidR="00804646" w:rsidRDefault="00804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0997A" w14:textId="77777777" w:rsidR="00804646" w:rsidRDefault="0080464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E7610" w14:textId="77777777" w:rsidR="00804646" w:rsidRDefault="00804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9E8"/>
    <w:multiLevelType w:val="multilevel"/>
    <w:tmpl w:val="0694C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7923"/>
    <w:multiLevelType w:val="multilevel"/>
    <w:tmpl w:val="30B88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FB3922"/>
    <w:multiLevelType w:val="multilevel"/>
    <w:tmpl w:val="29B0D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470223"/>
    <w:multiLevelType w:val="multilevel"/>
    <w:tmpl w:val="3B661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576B11"/>
    <w:multiLevelType w:val="multilevel"/>
    <w:tmpl w:val="619E7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A228A8"/>
    <w:multiLevelType w:val="multilevel"/>
    <w:tmpl w:val="D84A1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AB72B0"/>
    <w:multiLevelType w:val="multilevel"/>
    <w:tmpl w:val="2D1E6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EE0BA7"/>
    <w:multiLevelType w:val="multilevel"/>
    <w:tmpl w:val="4CFCD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412CAD"/>
    <w:multiLevelType w:val="multilevel"/>
    <w:tmpl w:val="51768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DF5732"/>
    <w:multiLevelType w:val="multilevel"/>
    <w:tmpl w:val="A3A20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44959F4"/>
    <w:multiLevelType w:val="multilevel"/>
    <w:tmpl w:val="599C1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A146E4"/>
    <w:multiLevelType w:val="multilevel"/>
    <w:tmpl w:val="DC60E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14125C"/>
    <w:multiLevelType w:val="multilevel"/>
    <w:tmpl w:val="F5E25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344877"/>
    <w:multiLevelType w:val="multilevel"/>
    <w:tmpl w:val="5EB82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577343"/>
    <w:multiLevelType w:val="multilevel"/>
    <w:tmpl w:val="2278B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B753CC"/>
    <w:multiLevelType w:val="multilevel"/>
    <w:tmpl w:val="F8207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2846A1"/>
    <w:multiLevelType w:val="multilevel"/>
    <w:tmpl w:val="92D2F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E00C7E"/>
    <w:multiLevelType w:val="multilevel"/>
    <w:tmpl w:val="DEC47EC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9605728"/>
    <w:multiLevelType w:val="multilevel"/>
    <w:tmpl w:val="DBB8A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6C4B74"/>
    <w:multiLevelType w:val="multilevel"/>
    <w:tmpl w:val="A81A9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D06C73"/>
    <w:multiLevelType w:val="multilevel"/>
    <w:tmpl w:val="925C4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602D0A"/>
    <w:multiLevelType w:val="multilevel"/>
    <w:tmpl w:val="0C126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B078B3"/>
    <w:multiLevelType w:val="multilevel"/>
    <w:tmpl w:val="8488F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9189825">
    <w:abstractNumId w:val="21"/>
  </w:num>
  <w:num w:numId="2" w16cid:durableId="2083717817">
    <w:abstractNumId w:val="19"/>
  </w:num>
  <w:num w:numId="3" w16cid:durableId="566038319">
    <w:abstractNumId w:val="7"/>
  </w:num>
  <w:num w:numId="4" w16cid:durableId="1426071168">
    <w:abstractNumId w:val="14"/>
  </w:num>
  <w:num w:numId="5" w16cid:durableId="12003330">
    <w:abstractNumId w:val="0"/>
  </w:num>
  <w:num w:numId="6" w16cid:durableId="2018464535">
    <w:abstractNumId w:val="6"/>
  </w:num>
  <w:num w:numId="7" w16cid:durableId="1685324589">
    <w:abstractNumId w:val="10"/>
  </w:num>
  <w:num w:numId="8" w16cid:durableId="34819578">
    <w:abstractNumId w:val="4"/>
  </w:num>
  <w:num w:numId="9" w16cid:durableId="2123835413">
    <w:abstractNumId w:val="1"/>
  </w:num>
  <w:num w:numId="10" w16cid:durableId="1064530278">
    <w:abstractNumId w:val="15"/>
  </w:num>
  <w:num w:numId="11" w16cid:durableId="191460050">
    <w:abstractNumId w:val="20"/>
  </w:num>
  <w:num w:numId="12" w16cid:durableId="829373935">
    <w:abstractNumId w:val="8"/>
  </w:num>
  <w:num w:numId="13" w16cid:durableId="543709983">
    <w:abstractNumId w:val="3"/>
  </w:num>
  <w:num w:numId="14" w16cid:durableId="1655983877">
    <w:abstractNumId w:val="22"/>
  </w:num>
  <w:num w:numId="15" w16cid:durableId="1789469220">
    <w:abstractNumId w:val="11"/>
  </w:num>
  <w:num w:numId="16" w16cid:durableId="1720474045">
    <w:abstractNumId w:val="17"/>
  </w:num>
  <w:num w:numId="17" w16cid:durableId="49891927">
    <w:abstractNumId w:val="13"/>
  </w:num>
  <w:num w:numId="18" w16cid:durableId="865409577">
    <w:abstractNumId w:val="12"/>
  </w:num>
  <w:num w:numId="19" w16cid:durableId="1084453123">
    <w:abstractNumId w:val="16"/>
  </w:num>
  <w:num w:numId="20" w16cid:durableId="1298296008">
    <w:abstractNumId w:val="18"/>
  </w:num>
  <w:num w:numId="21" w16cid:durableId="1798600338">
    <w:abstractNumId w:val="2"/>
  </w:num>
  <w:num w:numId="22" w16cid:durableId="844050320">
    <w:abstractNumId w:val="5"/>
  </w:num>
  <w:num w:numId="23" w16cid:durableId="14043734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45E"/>
    <w:rsid w:val="001109EC"/>
    <w:rsid w:val="001D4FD6"/>
    <w:rsid w:val="001D5F92"/>
    <w:rsid w:val="003240C4"/>
    <w:rsid w:val="00403C33"/>
    <w:rsid w:val="0047139F"/>
    <w:rsid w:val="00475EF8"/>
    <w:rsid w:val="005F645E"/>
    <w:rsid w:val="006B025A"/>
    <w:rsid w:val="006B2DFD"/>
    <w:rsid w:val="00804646"/>
    <w:rsid w:val="0091301E"/>
    <w:rsid w:val="0095167B"/>
    <w:rsid w:val="009B7B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D0B1"/>
  <w15:chartTrackingRefBased/>
  <w15:docId w15:val="{7D7F9050-0F82-47C9-B2BE-05893B67A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F645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unhideWhenUsed/>
    <w:qFormat/>
    <w:rsid w:val="005F645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5F645E"/>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5F645E"/>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5F645E"/>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5F645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F645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F645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F645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F645E"/>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rsid w:val="005F645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5F645E"/>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5F645E"/>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5F645E"/>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5F645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F645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F645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F645E"/>
    <w:rPr>
      <w:rFonts w:eastAsiaTheme="majorEastAsia" w:cstheme="majorBidi"/>
      <w:color w:val="272727" w:themeColor="text1" w:themeTint="D8"/>
    </w:rPr>
  </w:style>
  <w:style w:type="paragraph" w:styleId="Titre">
    <w:name w:val="Title"/>
    <w:basedOn w:val="Normal"/>
    <w:next w:val="Normal"/>
    <w:link w:val="TitreCar"/>
    <w:uiPriority w:val="10"/>
    <w:qFormat/>
    <w:rsid w:val="005F64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F645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F645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F645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F645E"/>
    <w:pPr>
      <w:spacing w:before="160"/>
      <w:jc w:val="center"/>
    </w:pPr>
    <w:rPr>
      <w:i/>
      <w:iCs/>
      <w:color w:val="404040" w:themeColor="text1" w:themeTint="BF"/>
    </w:rPr>
  </w:style>
  <w:style w:type="character" w:customStyle="1" w:styleId="CitationCar">
    <w:name w:val="Citation Car"/>
    <w:basedOn w:val="Policepardfaut"/>
    <w:link w:val="Citation"/>
    <w:uiPriority w:val="29"/>
    <w:rsid w:val="005F645E"/>
    <w:rPr>
      <w:i/>
      <w:iCs/>
      <w:color w:val="404040" w:themeColor="text1" w:themeTint="BF"/>
    </w:rPr>
  </w:style>
  <w:style w:type="paragraph" w:styleId="Paragraphedeliste">
    <w:name w:val="List Paragraph"/>
    <w:basedOn w:val="Normal"/>
    <w:uiPriority w:val="34"/>
    <w:qFormat/>
    <w:rsid w:val="005F645E"/>
    <w:pPr>
      <w:ind w:left="720"/>
      <w:contextualSpacing/>
    </w:pPr>
  </w:style>
  <w:style w:type="character" w:styleId="Accentuationintense">
    <w:name w:val="Intense Emphasis"/>
    <w:basedOn w:val="Policepardfaut"/>
    <w:uiPriority w:val="21"/>
    <w:qFormat/>
    <w:rsid w:val="005F645E"/>
    <w:rPr>
      <w:i/>
      <w:iCs/>
      <w:color w:val="2F5496" w:themeColor="accent1" w:themeShade="BF"/>
    </w:rPr>
  </w:style>
  <w:style w:type="paragraph" w:styleId="Citationintense">
    <w:name w:val="Intense Quote"/>
    <w:basedOn w:val="Normal"/>
    <w:next w:val="Normal"/>
    <w:link w:val="CitationintenseCar"/>
    <w:uiPriority w:val="30"/>
    <w:qFormat/>
    <w:rsid w:val="005F645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5F645E"/>
    <w:rPr>
      <w:i/>
      <w:iCs/>
      <w:color w:val="2F5496" w:themeColor="accent1" w:themeShade="BF"/>
    </w:rPr>
  </w:style>
  <w:style w:type="character" w:styleId="Rfrenceintense">
    <w:name w:val="Intense Reference"/>
    <w:basedOn w:val="Policepardfaut"/>
    <w:uiPriority w:val="32"/>
    <w:qFormat/>
    <w:rsid w:val="005F645E"/>
    <w:rPr>
      <w:b/>
      <w:bCs/>
      <w:smallCaps/>
      <w:color w:val="2F5496" w:themeColor="accent1" w:themeShade="BF"/>
      <w:spacing w:val="5"/>
    </w:rPr>
  </w:style>
  <w:style w:type="character" w:styleId="Lienhypertexte">
    <w:name w:val="Hyperlink"/>
    <w:basedOn w:val="Policepardfaut"/>
    <w:uiPriority w:val="99"/>
    <w:unhideWhenUsed/>
    <w:rsid w:val="006B025A"/>
    <w:rPr>
      <w:color w:val="0563C1" w:themeColor="hyperlink"/>
      <w:u w:val="single"/>
    </w:rPr>
  </w:style>
  <w:style w:type="character" w:styleId="Mentionnonrsolue">
    <w:name w:val="Unresolved Mention"/>
    <w:basedOn w:val="Policepardfaut"/>
    <w:uiPriority w:val="99"/>
    <w:semiHidden/>
    <w:unhideWhenUsed/>
    <w:rsid w:val="006B025A"/>
    <w:rPr>
      <w:color w:val="605E5C"/>
      <w:shd w:val="clear" w:color="auto" w:fill="E1DFDD"/>
    </w:rPr>
  </w:style>
  <w:style w:type="paragraph" w:styleId="NormalWeb">
    <w:name w:val="Normal (Web)"/>
    <w:basedOn w:val="Normal"/>
    <w:uiPriority w:val="99"/>
    <w:semiHidden/>
    <w:unhideWhenUsed/>
    <w:rsid w:val="003240C4"/>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ms-1">
    <w:name w:val="ms-1"/>
    <w:basedOn w:val="Policepardfaut"/>
    <w:rsid w:val="003240C4"/>
  </w:style>
  <w:style w:type="character" w:customStyle="1" w:styleId="max-w-15ch">
    <w:name w:val="max-w-[15ch]"/>
    <w:basedOn w:val="Policepardfaut"/>
    <w:rsid w:val="003240C4"/>
  </w:style>
  <w:style w:type="character" w:customStyle="1" w:styleId="-me-1">
    <w:name w:val="-me-1"/>
    <w:basedOn w:val="Policepardfaut"/>
    <w:rsid w:val="003240C4"/>
  </w:style>
  <w:style w:type="paragraph" w:styleId="En-tte">
    <w:name w:val="header"/>
    <w:basedOn w:val="Normal"/>
    <w:link w:val="En-tteCar"/>
    <w:uiPriority w:val="99"/>
    <w:unhideWhenUsed/>
    <w:rsid w:val="00804646"/>
    <w:pPr>
      <w:tabs>
        <w:tab w:val="center" w:pos="4536"/>
        <w:tab w:val="right" w:pos="9072"/>
      </w:tabs>
      <w:spacing w:after="0" w:line="240" w:lineRule="auto"/>
    </w:pPr>
  </w:style>
  <w:style w:type="character" w:customStyle="1" w:styleId="En-tteCar">
    <w:name w:val="En-tête Car"/>
    <w:basedOn w:val="Policepardfaut"/>
    <w:link w:val="En-tte"/>
    <w:uiPriority w:val="99"/>
    <w:rsid w:val="00804646"/>
  </w:style>
  <w:style w:type="paragraph" w:styleId="Pieddepage">
    <w:name w:val="footer"/>
    <w:basedOn w:val="Normal"/>
    <w:link w:val="PieddepageCar"/>
    <w:uiPriority w:val="99"/>
    <w:unhideWhenUsed/>
    <w:rsid w:val="008046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4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vention.fr/convention-batiment-etam-3002.html?utm_source=chatgpt.com" TargetMode="External"/><Relationship Id="rId18" Type="http://schemas.openxmlformats.org/officeDocument/2006/relationships/hyperlink" Target="https://www.top-metiers.fr/etam-grille-de-salaire-2022?utm_source=chatgpt.com" TargetMode="External"/><Relationship Id="rId26" Type="http://schemas.openxmlformats.org/officeDocument/2006/relationships/hyperlink" Target="https://www.legifrance.gouv.fr/conv_coll/article/KALIARTI000018613464?utm_source=chatgpt.com" TargetMode="External"/><Relationship Id="rId3" Type="http://schemas.openxmlformats.org/officeDocument/2006/relationships/settings" Target="settings.xml"/><Relationship Id="rId21" Type="http://schemas.openxmlformats.org/officeDocument/2006/relationships/hyperlink" Target="https://www.ffbatiment.fr/outils-modeles-document/outils/minima-sociaux-du-batiment?utm_source=chatgpt.com"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legifrance.gouv.fr/conv_coll/id/KALITEXT000018773681?utm_source=chatgpt.com" TargetMode="External"/><Relationship Id="rId17" Type="http://schemas.openxmlformats.org/officeDocument/2006/relationships/hyperlink" Target="https://www.obat.fr/blog/statut-etam-grille-salaire/?utm_source=chatgpt.com" TargetMode="External"/><Relationship Id="rId25" Type="http://schemas.openxmlformats.org/officeDocument/2006/relationships/hyperlink" Target="https://presse.tripalio.fr/wp-content/uploads/2025/01/IDCC-2609-Accord-regional-salaires-Bretagne.pdf?utm_source=chatgpt.co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ode.travail.gouv.fr/convention-collective/2609-batiment-etam?utm_source=chatgpt.com" TargetMode="External"/><Relationship Id="rId20" Type="http://schemas.openxmlformats.org/officeDocument/2006/relationships/hyperlink" Target="https://www.legifrance.gouv.fr/conv_coll/id/KALICONT000018773893?utm_source=chatgpt.com"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jorf/id/JORFTEXT000051164121?utm_source=chatgpt.com" TargetMode="External"/><Relationship Id="rId24" Type="http://schemas.openxmlformats.org/officeDocument/2006/relationships/hyperlink" Target="https://www.legifrance.gouv.fr/conv_coll/id/KALITEXT000051191827?idConteneur=KALICONT000018773893&amp;origin=list&amp;utm_source=chatgpt.com"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legifrance.gouv.fr/conv_coll/id/KALITEXT000051191827?idConteneur=KALICONT000018773893&amp;origin=list&amp;utm_source=chatgpt.com" TargetMode="External"/><Relationship Id="rId23" Type="http://schemas.openxmlformats.org/officeDocument/2006/relationships/hyperlink" Target="https://www.legifrance.gouv.fr/jorf/id/JORFTEXT000051164121?utm_source=chatgpt.com" TargetMode="External"/><Relationship Id="rId28" Type="http://schemas.openxmlformats.org/officeDocument/2006/relationships/header" Target="header2.xml"/><Relationship Id="rId10" Type="http://schemas.openxmlformats.org/officeDocument/2006/relationships/hyperlink" Target="https://www.legifrance.gouv.fr/conv_coll/id/KALICONT000018773893?utm_source=chatgpt.com" TargetMode="External"/><Relationship Id="rId19" Type="http://schemas.openxmlformats.org/officeDocument/2006/relationships/hyperlink" Target="https://code.travail.gouv.fr/convention-collective/2609-batiment-etam?utm_source=chatgpt.com"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legifrance.gouv.fr/conv_coll/id/KALITEXT000051191827?idConteneur=KALICONT000018773893&amp;origin=list&amp;utm_source=chatgpt.com" TargetMode="External"/><Relationship Id="rId22" Type="http://schemas.openxmlformats.org/officeDocument/2006/relationships/hyperlink" Target="https://www.legifrance.gouv.fr/jorf/id/JORFTEXT000051164121?utm_source=chatgpt.com"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8</Pages>
  <Words>2467</Words>
  <Characters>13570</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4</cp:revision>
  <dcterms:created xsi:type="dcterms:W3CDTF">2025-09-25T02:48:00Z</dcterms:created>
  <dcterms:modified xsi:type="dcterms:W3CDTF">2025-09-25T10:50:00Z</dcterms:modified>
</cp:coreProperties>
</file>